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022715D1" w:rsidR="007978B9" w:rsidRDefault="00022714" w:rsidP="00C5532C">
      <w:pPr>
        <w:pStyle w:val="Ttulo4"/>
      </w:pPr>
      <w:bookmarkStart w:id="1" w:name="_GoBack"/>
      <w:bookmarkEnd w:id="1"/>
      <w:r>
        <w:t>Medidor de fluxo indutivo-magnético</w:t>
      </w:r>
    </w:p>
    <w:p w14:paraId="109A728C" w14:textId="765993B5" w:rsidR="007978B9" w:rsidRPr="006B4AFA" w:rsidRDefault="00022714" w:rsidP="007978B9">
      <w:pPr>
        <w:keepNext/>
        <w:jc w:val="center"/>
      </w:pPr>
      <w:r w:rsidRPr="00022714">
        <w:rPr>
          <w:noProof/>
        </w:rPr>
        <w:drawing>
          <wp:inline distT="0" distB="0" distL="0" distR="0" wp14:anchorId="658490D8" wp14:editId="29B5A5AE">
            <wp:extent cx="1381318" cy="20767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036630E6" w:rsidR="007978B9" w:rsidRDefault="007978B9" w:rsidP="007978B9">
      <w:pPr>
        <w:pStyle w:val="Legenda"/>
      </w:pPr>
      <w:bookmarkStart w:id="2" w:name="_Toc45281995"/>
      <w:bookmarkStart w:id="3" w:name="_Toc55982374"/>
      <w:r w:rsidRPr="006B4AFA">
        <w:t xml:space="preserve">Figura </w:t>
      </w:r>
      <w:r w:rsidR="005B2FD0">
        <w:fldChar w:fldCharType="begin"/>
      </w:r>
      <w:r w:rsidR="005B2FD0">
        <w:instrText xml:space="preserve"> STYLEREF 1 \s </w:instrText>
      </w:r>
      <w:r w:rsidR="005B2FD0">
        <w:fldChar w:fldCharType="separate"/>
      </w:r>
      <w:r>
        <w:rPr>
          <w:noProof/>
        </w:rPr>
        <w:t>3</w:t>
      </w:r>
      <w:r w:rsidR="005B2FD0">
        <w:rPr>
          <w:noProof/>
        </w:rPr>
        <w:fldChar w:fldCharType="end"/>
      </w:r>
      <w:r>
        <w:noBreakHyphen/>
      </w:r>
      <w:r w:rsidR="005B2FD0">
        <w:fldChar w:fldCharType="begin"/>
      </w:r>
      <w:r w:rsidR="005B2FD0">
        <w:instrText xml:space="preserve"> SEQ Figura \* ARABIC \s 1 </w:instrText>
      </w:r>
      <w:r w:rsidR="005B2FD0">
        <w:fldChar w:fldCharType="separate"/>
      </w:r>
      <w:r>
        <w:rPr>
          <w:noProof/>
        </w:rPr>
        <w:t>16</w:t>
      </w:r>
      <w:r w:rsidR="005B2FD0">
        <w:rPr>
          <w:noProof/>
        </w:rPr>
        <w:fldChar w:fldCharType="end"/>
      </w:r>
      <w:r w:rsidRPr="006B4AFA">
        <w:t xml:space="preserve">: Medidor de </w:t>
      </w:r>
      <w:bookmarkEnd w:id="2"/>
      <w:bookmarkEnd w:id="3"/>
      <w:r w:rsidR="00022714">
        <w:t>fluxo indutivo-magnético</w:t>
      </w:r>
    </w:p>
    <w:p w14:paraId="332B18B3" w14:textId="59D16626" w:rsidR="007A66B2" w:rsidRPr="00614D25" w:rsidRDefault="00022714" w:rsidP="00022714">
      <w:r w:rsidRPr="00022714">
        <w:t>Os medidores de fluxo indutivo-magnético medem a taxa de fluxo volumétrico dos líquidos. Mais informações sobre a operação do aparelho de medição podem ser consultadas na documentação do fabricante, ver “</w:t>
      </w:r>
      <w:r w:rsidRPr="00022714">
        <w:rPr>
          <w:i/>
          <w:iCs/>
        </w:rPr>
        <w:t>Documentação das peças adquiridas</w:t>
      </w:r>
      <w:r w:rsidRPr="00022714"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B2FD0">
      <w:trPr>
        <w:trHeight w:val="454"/>
      </w:trPr>
      <w:tc>
        <w:tcPr>
          <w:tcW w:w="2838" w:type="dxa"/>
          <w:vAlign w:val="center"/>
        </w:tcPr>
        <w:p w14:paraId="6016363D" w14:textId="5F210BA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2FD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B2FD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B2FD0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B2FD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0AB979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2FD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714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2FD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532C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472B2-E779-45F6-9BD6-5EA2C96B6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