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A8B03" w14:textId="77777777" w:rsidR="00124B6E" w:rsidRPr="0006634B" w:rsidRDefault="00124B6E" w:rsidP="00A73F49">
      <w:pPr>
        <w:pStyle w:val="Ttulo4"/>
      </w:pPr>
      <w:bookmarkStart w:id="1" w:name="_GoBack"/>
      <w:bookmarkEnd w:id="1"/>
      <w:r w:rsidRPr="00594720">
        <w:t>Válvula de coleta de amostra</w:t>
      </w:r>
    </w:p>
    <w:p w14:paraId="2883BD52" w14:textId="77777777" w:rsidR="00124B6E" w:rsidRDefault="00124B6E" w:rsidP="00124B6E">
      <w:pPr>
        <w:jc w:val="center"/>
      </w:pPr>
      <w:r w:rsidRPr="0099005C">
        <w:rPr>
          <w:noProof/>
        </w:rPr>
        <w:drawing>
          <wp:inline distT="0" distB="0" distL="0" distR="0" wp14:anchorId="6DE31F21" wp14:editId="3D2E1559">
            <wp:extent cx="3168650" cy="3253740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B45A" w14:textId="77777777" w:rsidR="00124B6E" w:rsidRPr="000E2971" w:rsidRDefault="00124B6E" w:rsidP="00124B6E">
      <w:pPr>
        <w:pStyle w:val="Legenda"/>
      </w:pPr>
      <w:bookmarkStart w:id="2" w:name="_Toc45281997"/>
      <w:bookmarkStart w:id="3" w:name="_Toc55982376"/>
      <w:r w:rsidRPr="000C64C1">
        <w:t xml:space="preserve">Figura </w:t>
      </w:r>
      <w:r w:rsidR="00DB23E5">
        <w:fldChar w:fldCharType="begin"/>
      </w:r>
      <w:r w:rsidR="00DB23E5">
        <w:instrText xml:space="preserve"> STYLEREF 1 \s </w:instrText>
      </w:r>
      <w:r w:rsidR="00DB23E5">
        <w:fldChar w:fldCharType="separate"/>
      </w:r>
      <w:r>
        <w:rPr>
          <w:noProof/>
        </w:rPr>
        <w:t>3</w:t>
      </w:r>
      <w:r w:rsidR="00DB23E5">
        <w:rPr>
          <w:noProof/>
        </w:rPr>
        <w:fldChar w:fldCharType="end"/>
      </w:r>
      <w:r>
        <w:noBreakHyphen/>
      </w:r>
      <w:r w:rsidR="00DB23E5">
        <w:fldChar w:fldCharType="begin"/>
      </w:r>
      <w:r w:rsidR="00DB23E5">
        <w:instrText xml:space="preserve"> SEQ Figura \* ARABIC \s 1 </w:instrText>
      </w:r>
      <w:r w:rsidR="00DB23E5">
        <w:fldChar w:fldCharType="separate"/>
      </w:r>
      <w:r>
        <w:rPr>
          <w:noProof/>
        </w:rPr>
        <w:t>18</w:t>
      </w:r>
      <w:r w:rsidR="00DB23E5">
        <w:rPr>
          <w:noProof/>
        </w:rPr>
        <w:fldChar w:fldCharType="end"/>
      </w:r>
      <w:r w:rsidRPr="000C64C1">
        <w:t xml:space="preserve">: Válvula de </w:t>
      </w:r>
      <w:r>
        <w:t>amostra</w:t>
      </w:r>
      <w:bookmarkEnd w:id="2"/>
      <w:bookmarkEnd w:id="3"/>
    </w:p>
    <w:p w14:paraId="332B18B3" w14:textId="630B001C" w:rsidR="007A66B2" w:rsidRPr="00124B6E" w:rsidRDefault="00124B6E" w:rsidP="00124B6E">
      <w:r w:rsidRPr="00765C0D">
        <w:t>A válvula de amostragem é usada para coletar amostras do tanque ou da tubulação como parte do controle de qualidade.</w:t>
      </w:r>
    </w:p>
    <w:sectPr w:rsidR="007A66B2" w:rsidRPr="00124B6E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97D3A" w14:textId="77777777" w:rsidR="00ED4C95" w:rsidRDefault="00ED4C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B23E5">
      <w:trPr>
        <w:trHeight w:val="454"/>
      </w:trPr>
      <w:tc>
        <w:tcPr>
          <w:tcW w:w="2838" w:type="dxa"/>
          <w:vAlign w:val="center"/>
        </w:tcPr>
        <w:p w14:paraId="6016363D" w14:textId="5EFB8BD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B23E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B23E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E75FF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014D0" w14:textId="77777777" w:rsidR="00ED4C95" w:rsidRDefault="00ED4C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83820" w14:textId="77777777" w:rsidR="00ED4C95" w:rsidRDefault="00ED4C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B23E5">
      <w:trPr>
        <w:trHeight w:val="369"/>
      </w:trPr>
      <w:tc>
        <w:tcPr>
          <w:tcW w:w="963" w:type="dxa"/>
          <w:vMerge w:val="restart"/>
        </w:tcPr>
        <w:p w14:paraId="63EDE0D4" w14:textId="4CAC4A01" w:rsidR="00B91003" w:rsidRDefault="00ED4C9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9FEE45" wp14:editId="7A8481B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B23E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A09A7D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B23E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8E20B" w14:textId="77777777" w:rsidR="00ED4C95" w:rsidRDefault="00ED4C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73F49"/>
    <w:rsid w:val="00A80395"/>
    <w:rsid w:val="00A91C8D"/>
    <w:rsid w:val="00AA4B8F"/>
    <w:rsid w:val="00AB53F3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B23E5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4C95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5692E-5B9B-44B5-A838-C8B15F882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