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6C926" w14:textId="169B39E2" w:rsidR="00482E9F" w:rsidRPr="00482E9F" w:rsidRDefault="007978B9" w:rsidP="00CB40C2">
      <w:pPr>
        <w:pStyle w:val="Ttulo4"/>
      </w:pPr>
      <w:bookmarkStart w:id="1" w:name="_Toc13576935"/>
      <w:bookmarkStart w:id="2" w:name="_GoBack"/>
      <w:bookmarkEnd w:id="2"/>
      <w:r w:rsidRPr="007978B9">
        <w:t>Medidor</w:t>
      </w:r>
      <w:r w:rsidRPr="005C7A24">
        <w:t xml:space="preserve"> de </w:t>
      </w:r>
      <w:bookmarkEnd w:id="1"/>
      <w:r w:rsidR="00482E9F">
        <w:t>fluxo Coriolis</w:t>
      </w:r>
    </w:p>
    <w:p w14:paraId="109A728C" w14:textId="72046765" w:rsidR="007978B9" w:rsidRPr="006B4AFA" w:rsidRDefault="00482E9F" w:rsidP="007978B9">
      <w:pPr>
        <w:keepNext/>
        <w:jc w:val="center"/>
      </w:pPr>
      <w:r w:rsidRPr="00482E9F">
        <w:rPr>
          <w:noProof/>
        </w:rPr>
        <w:drawing>
          <wp:inline distT="0" distB="0" distL="0" distR="0" wp14:anchorId="2DFF7CA9" wp14:editId="3D5E39AF">
            <wp:extent cx="3277057" cy="16194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B25" w14:textId="22D63B80" w:rsidR="007978B9" w:rsidRDefault="007978B9" w:rsidP="007978B9">
      <w:pPr>
        <w:pStyle w:val="Legenda"/>
      </w:pPr>
      <w:bookmarkStart w:id="3" w:name="_Toc45281995"/>
      <w:bookmarkStart w:id="4" w:name="_Toc55982374"/>
      <w:r w:rsidRPr="006B4AFA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 w:rsidRPr="006B4AFA">
        <w:t xml:space="preserve">: Medidor de </w:t>
      </w:r>
      <w:bookmarkEnd w:id="3"/>
      <w:bookmarkEnd w:id="4"/>
      <w:r w:rsidR="00366DEC">
        <w:t>fluxo Coriolis</w:t>
      </w:r>
    </w:p>
    <w:p w14:paraId="332B18B3" w14:textId="57279D54" w:rsidR="007A66B2" w:rsidRPr="00482E9F" w:rsidRDefault="00482E9F" w:rsidP="00482E9F">
      <w:r w:rsidRPr="00482E9F">
        <w:t>Os medidores de fluxo Coriolis medem o fluxo de massa de líquidos e gases. Ao mesmo tempo, são medidas a espessura e a temperatura, a partir das quais pode ser calculado a taxa de fluxo volumétrico. Mais informações sobre a operação do aparelho de medição podem ser consultadas na documentação do fabricante, ver “</w:t>
      </w:r>
      <w:r w:rsidRPr="00482E9F">
        <w:rPr>
          <w:i/>
          <w:iCs/>
        </w:rPr>
        <w:t>Documentação das peças adquiridas</w:t>
      </w:r>
      <w:r w:rsidRPr="00482E9F">
        <w:t>”.</w:t>
      </w:r>
    </w:p>
    <w:sectPr w:rsidR="007A66B2" w:rsidRPr="00482E9F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60D46" w14:textId="77777777" w:rsidR="00701F46" w:rsidRDefault="00701F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869AD">
      <w:trPr>
        <w:trHeight w:val="454"/>
      </w:trPr>
      <w:tc>
        <w:tcPr>
          <w:tcW w:w="2838" w:type="dxa"/>
          <w:vAlign w:val="center"/>
        </w:tcPr>
        <w:p w14:paraId="6016363D" w14:textId="06E5D8C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869A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869A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5041A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146A8" w14:textId="77777777" w:rsidR="00701F46" w:rsidRDefault="00701F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14B45" w14:textId="77777777" w:rsidR="00701F46" w:rsidRDefault="00701F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869AD">
      <w:trPr>
        <w:trHeight w:val="369"/>
      </w:trPr>
      <w:tc>
        <w:tcPr>
          <w:tcW w:w="963" w:type="dxa"/>
          <w:vMerge w:val="restart"/>
        </w:tcPr>
        <w:p w14:paraId="63EDE0D4" w14:textId="333183B6" w:rsidR="00B91003" w:rsidRDefault="00701F4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D96BAB5" wp14:editId="6A8560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869A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B3F8F0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869A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4B69A" w14:textId="77777777" w:rsidR="00701F46" w:rsidRDefault="00701F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0BB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6DEC"/>
    <w:rsid w:val="00377FF5"/>
    <w:rsid w:val="00383051"/>
    <w:rsid w:val="0038622C"/>
    <w:rsid w:val="003869AD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82E9F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1F46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1F3A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B40C2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39D0E-BD93-4864-A81E-88D04E433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