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A60A9" w14:textId="77777777" w:rsidR="004F0B54" w:rsidRDefault="004F0B54" w:rsidP="004F0B54">
      <w:pPr>
        <w:pStyle w:val="Ttulo3"/>
      </w:pPr>
      <w:bookmarkStart w:id="1" w:name="_Toc56067975"/>
      <w:bookmarkStart w:id="2" w:name="_GoBack"/>
      <w:bookmarkEnd w:id="2"/>
      <w:r>
        <w:t>Sonda de aviso de vazio</w:t>
      </w:r>
      <w:bookmarkEnd w:id="1"/>
    </w:p>
    <w:p w14:paraId="04FB2D02" w14:textId="77777777" w:rsidR="004F0B54" w:rsidRPr="00841AF8" w:rsidRDefault="004F0B54" w:rsidP="004F0B54">
      <w:pPr>
        <w:rPr>
          <w:b/>
        </w:rPr>
      </w:pPr>
      <w:r w:rsidRPr="00841AF8">
        <w:rPr>
          <w:b/>
        </w:rPr>
        <w:t>Estrutura</w:t>
      </w:r>
    </w:p>
    <w:p w14:paraId="32FA51B6" w14:textId="77777777" w:rsidR="004F0B54" w:rsidRDefault="004F0B54" w:rsidP="004F0B54">
      <w:pPr>
        <w:keepNext/>
        <w:jc w:val="center"/>
      </w:pPr>
      <w:r>
        <w:rPr>
          <w:noProof/>
        </w:rPr>
        <w:drawing>
          <wp:inline distT="0" distB="0" distL="0" distR="0" wp14:anchorId="2EA81C39" wp14:editId="5EB2278F">
            <wp:extent cx="3240000" cy="2952000"/>
            <wp:effectExtent l="0" t="0" r="0" b="1270"/>
            <wp:docPr id="949337" name="Imagem 94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D7E7F" w14:textId="77777777" w:rsidR="004F0B54" w:rsidRDefault="004F0B54" w:rsidP="004F0B5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F6443">
        <w:fldChar w:fldCharType="begin"/>
      </w:r>
      <w:r w:rsidR="00BF6443">
        <w:instrText xml:space="preserve"> SEQ Figura \* ARABIC \s 1 </w:instrText>
      </w:r>
      <w:r w:rsidR="00BF6443">
        <w:fldChar w:fldCharType="separate"/>
      </w:r>
      <w:r>
        <w:rPr>
          <w:noProof/>
        </w:rPr>
        <w:t>1</w:t>
      </w:r>
      <w:r w:rsidR="00BF6443">
        <w:rPr>
          <w:noProof/>
        </w:rPr>
        <w:fldChar w:fldCharType="end"/>
      </w:r>
      <w:r w:rsidRPr="0095433B">
        <w:t>: Sonda de aviso de vazio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32"/>
        <w:gridCol w:w="3591"/>
        <w:gridCol w:w="632"/>
        <w:gridCol w:w="3620"/>
      </w:tblGrid>
      <w:tr w:rsidR="004F0B54" w:rsidRPr="00B876B6" w14:paraId="42A8EEE1" w14:textId="77777777" w:rsidTr="00221FFE">
        <w:trPr>
          <w:trHeight w:val="72"/>
          <w:jc w:val="center"/>
        </w:trPr>
        <w:tc>
          <w:tcPr>
            <w:tcW w:w="6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8A9DA3" w14:textId="77777777" w:rsidR="004F0B54" w:rsidRPr="00B876B6" w:rsidRDefault="004F0B5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59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CE4558" w14:textId="77777777" w:rsidR="004F0B54" w:rsidRPr="00B876B6" w:rsidRDefault="004F0B5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6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246ED41" w14:textId="77777777" w:rsidR="004F0B54" w:rsidRPr="00B876B6" w:rsidRDefault="004F0B5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089780" w14:textId="77777777" w:rsidR="004F0B54" w:rsidRPr="00B876B6" w:rsidRDefault="004F0B5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4F0B54" w:rsidRPr="00B876B6" w14:paraId="3732D66C" w14:textId="77777777" w:rsidTr="004F0B54">
        <w:trPr>
          <w:trHeight w:val="503"/>
          <w:jc w:val="center"/>
        </w:trPr>
        <w:tc>
          <w:tcPr>
            <w:tcW w:w="6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5E1155D" w14:textId="77777777" w:rsidR="004F0B54" w:rsidRPr="00B876B6" w:rsidRDefault="004F0B54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59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FD72A5" w14:textId="77777777" w:rsidR="004F0B54" w:rsidRPr="00B876B6" w:rsidRDefault="004F0B54" w:rsidP="004F0B54">
            <w:pPr>
              <w:spacing w:after="0"/>
              <w:jc w:val="left"/>
              <w:rPr>
                <w:rFonts w:eastAsia="Calibri"/>
              </w:rPr>
            </w:pPr>
            <w:r w:rsidRPr="00841AF8">
              <w:rPr>
                <w:rFonts w:eastAsia="Calibri"/>
              </w:rPr>
              <w:t>Sonda de aviso de vazio</w:t>
            </w:r>
          </w:p>
        </w:tc>
        <w:tc>
          <w:tcPr>
            <w:tcW w:w="6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423DFF6" w14:textId="77777777" w:rsidR="004F0B54" w:rsidRPr="00B876B6" w:rsidRDefault="004F0B54" w:rsidP="004F0B54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6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53A6CD" w14:textId="77777777" w:rsidR="004F0B54" w:rsidRPr="00B876B6" w:rsidRDefault="004F0B54" w:rsidP="004F0B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T</w:t>
            </w:r>
            <w:r w:rsidRPr="00841AF8">
              <w:rPr>
                <w:rFonts w:eastAsia="MS Mincho"/>
                <w:color w:val="000000"/>
              </w:rPr>
              <w:t>ubulação de fluídos</w:t>
            </w:r>
          </w:p>
        </w:tc>
      </w:tr>
    </w:tbl>
    <w:p w14:paraId="3458BFCE" w14:textId="77777777" w:rsidR="004F0B54" w:rsidRDefault="004F0B54" w:rsidP="004F0B54"/>
    <w:p w14:paraId="4BC3221E" w14:textId="77777777" w:rsidR="004F0B54" w:rsidRPr="00841AF8" w:rsidRDefault="004F0B54" w:rsidP="004F0B54">
      <w:pPr>
        <w:rPr>
          <w:b/>
        </w:rPr>
      </w:pPr>
      <w:r w:rsidRPr="00841AF8">
        <w:rPr>
          <w:b/>
        </w:rPr>
        <w:t>Funcionamento</w:t>
      </w:r>
    </w:p>
    <w:p w14:paraId="1800C266" w14:textId="77777777" w:rsidR="004F0B54" w:rsidRDefault="004F0B54" w:rsidP="004F0B54">
      <w:r>
        <w:t>A sonda de aviso de vazio evita o funcionamento a seco da bomba, que pode danificar ou destruir a bomba.</w:t>
      </w:r>
    </w:p>
    <w:p w14:paraId="702E934D" w14:textId="77777777" w:rsidR="004F0B54" w:rsidRDefault="004F0B54" w:rsidP="004F0B54">
      <w:r>
        <w:t>Consulte “</w:t>
      </w:r>
      <w:r w:rsidRPr="00EC5EA6">
        <w:rPr>
          <w:i/>
          <w:iCs/>
        </w:rPr>
        <w:t>Documentação de peças de reposição</w:t>
      </w:r>
      <w:r>
        <w:t>”.</w:t>
      </w:r>
    </w:p>
    <w:p w14:paraId="45D5DF6B" w14:textId="77777777" w:rsidR="004F0B54" w:rsidRDefault="004F0B54" w:rsidP="004F0B54">
      <w:r>
        <w:t>A sonda de aviso de vazio monitora a presença de um líquido na linha de sucção da bomba. Se a sonda de aviso de vazio não detecta nenhum líquido na linha de sucção, ela interrompe o funcionamento da bomba ou desliga a bomba em funcionamento.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F0B54" w:rsidRPr="00423AD7" w14:paraId="0FD88D65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8E8DBD2" w14:textId="77777777" w:rsidR="004F0B54" w:rsidRPr="00423AD7" w:rsidRDefault="004F0B54" w:rsidP="00221FFE">
            <w:pPr>
              <w:jc w:val="center"/>
              <w:rPr>
                <w:rFonts w:eastAsia="Arial Unicode MS"/>
              </w:rPr>
            </w:pPr>
            <w:bookmarkStart w:id="3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5845D9DC" w14:textId="77777777" w:rsidR="004F0B54" w:rsidRPr="001D1076" w:rsidRDefault="004F0B54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C3AD35" w14:textId="77777777" w:rsidR="004F0B54" w:rsidRPr="00423AD7" w:rsidRDefault="004F0B54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F0B54" w:rsidRPr="00423AD7" w14:paraId="30D91C7D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B50595" w14:textId="77777777" w:rsidR="004F0B54" w:rsidRPr="00423AD7" w:rsidRDefault="004F0B54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439F289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3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A3C6D9" w14:textId="77777777" w:rsidR="004F0B54" w:rsidRPr="009B3D08" w:rsidRDefault="004F0B54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9B3D08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1042A2" w14:textId="77777777" w:rsidR="004F0B54" w:rsidRPr="00423AD7" w:rsidRDefault="004F0B54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F96661" w14:textId="77777777" w:rsidR="00BF6443" w:rsidRDefault="00BF64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F6443">
      <w:trPr>
        <w:trHeight w:val="454"/>
      </w:trPr>
      <w:tc>
        <w:tcPr>
          <w:tcW w:w="2838" w:type="dxa"/>
          <w:vAlign w:val="center"/>
        </w:tcPr>
        <w:p w14:paraId="6016363D" w14:textId="16C77B7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644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F644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CDD6" w14:textId="77777777" w:rsidR="00BF6443" w:rsidRDefault="00BF64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0CE9B" w14:textId="77777777" w:rsidR="00BF6443" w:rsidRDefault="00BF64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F644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F644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A0BC3A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F644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54CED" w14:textId="77777777" w:rsidR="00BF6443" w:rsidRDefault="00BF64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0B0"/>
    <w:rsid w:val="00433A3E"/>
    <w:rsid w:val="00445980"/>
    <w:rsid w:val="00460434"/>
    <w:rsid w:val="00461BB3"/>
    <w:rsid w:val="004B35EF"/>
    <w:rsid w:val="004C4496"/>
    <w:rsid w:val="004D4D7B"/>
    <w:rsid w:val="004F0B54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BF6443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E90AB-EBA6-480D-A1B6-1188DE2D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