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6B8D7" w14:textId="77777777" w:rsidR="00AA7FDB" w:rsidRPr="003E6D93" w:rsidRDefault="00AA7FDB" w:rsidP="00AA7FDB">
      <w:pPr>
        <w:pStyle w:val="Ttulo4"/>
        <w:rPr>
          <w:rFonts w:eastAsia="ArialUnicodeMS"/>
        </w:rPr>
      </w:pPr>
      <w:r w:rsidRPr="003E6D93">
        <w:rPr>
          <w:rFonts w:eastAsia="ArialUnicodeMS"/>
        </w:rPr>
        <w:t>Transferência</w:t>
      </w:r>
    </w:p>
    <w:p w14:paraId="4DDDB5CB" w14:textId="77777777" w:rsidR="00AA7FDB" w:rsidRDefault="00AA7FDB" w:rsidP="00AA7FDB">
      <w:pPr>
        <w:rPr>
          <w:b/>
          <w:bCs/>
        </w:rPr>
      </w:pPr>
      <w:r w:rsidRPr="0016527B">
        <w:rPr>
          <w:b/>
          <w:bCs/>
        </w:rPr>
        <w:t>Estrutura</w:t>
      </w:r>
      <w:bookmarkStart w:id="1" w:name="_GoBack"/>
      <w:bookmarkEnd w:id="1"/>
    </w:p>
    <w:p w14:paraId="4D941499" w14:textId="77777777" w:rsidR="00AA7FDB" w:rsidRDefault="00AA7FDB" w:rsidP="00AA7FDB">
      <w:pPr>
        <w:rPr>
          <w:b/>
          <w:bCs/>
        </w:rPr>
      </w:pPr>
    </w:p>
    <w:p w14:paraId="44E701FB" w14:textId="77777777" w:rsidR="00AA7FDB" w:rsidRPr="00B55DCC" w:rsidRDefault="00AA7FDB" w:rsidP="00AA7FD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6691DC9" wp14:editId="09A86397">
            <wp:extent cx="3791731" cy="36004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573" cy="36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033" w14:textId="77777777" w:rsidR="00AA7FDB" w:rsidRDefault="00AA7FDB" w:rsidP="00AA7FD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: </w:t>
      </w:r>
      <w:r w:rsidRPr="00077B19">
        <w:t>Transferência</w:t>
      </w:r>
    </w:p>
    <w:p w14:paraId="5D972272" w14:textId="77777777" w:rsidR="00AA7FDB" w:rsidRPr="0016527B" w:rsidRDefault="00AA7FDB" w:rsidP="00AA7FDB"/>
    <w:p w14:paraId="0A115B3D" w14:textId="77777777" w:rsidR="00AA7FDB" w:rsidRDefault="00AA7FDB" w:rsidP="00AA7FDB">
      <w:pPr>
        <w:rPr>
          <w:b/>
          <w:bCs/>
        </w:rPr>
      </w:pPr>
      <w:r>
        <w:rPr>
          <w:b/>
          <w:bCs/>
        </w:rPr>
        <w:t>Funcionamento</w:t>
      </w:r>
    </w:p>
    <w:p w14:paraId="56E5F53F" w14:textId="77777777" w:rsidR="00AA7FDB" w:rsidRDefault="00AA7FDB" w:rsidP="00AA7FDB">
      <w:r>
        <w:t>O nivelamento é usado para transferir os recipientes em uma determinada formação para a máquina seguinte.</w:t>
      </w:r>
    </w:p>
    <w:p w14:paraId="4EFE53AB" w14:textId="77777777" w:rsidR="00AA7FDB" w:rsidRDefault="00AA7FDB" w:rsidP="00AA7FDB">
      <w:r>
        <w:t>Os recipientes são transferidos ao longo de uma guia lateral, indo de um segmento para outro segmento com um número menor de correntes.</w:t>
      </w:r>
    </w:p>
    <w:p w14:paraId="0DDCA289" w14:textId="77777777" w:rsidR="00AA7FDB" w:rsidRDefault="00AA7FDB" w:rsidP="00AA7FDB">
      <w:r>
        <w:t>O nivelamento é regulado por uma fotocélula, de modo que sejam evitadas obstruções.</w:t>
      </w:r>
    </w:p>
    <w:p w14:paraId="64542C52" w14:textId="77777777" w:rsidR="00AA7FDB" w:rsidRDefault="00AA7FDB" w:rsidP="00AA7FDB"/>
    <w:p w14:paraId="0C353BBB" w14:textId="77777777" w:rsidR="00AA7FDB" w:rsidRDefault="00AA7FDB" w:rsidP="00AA7FDB"/>
    <w:p w14:paraId="714124A9" w14:textId="77777777" w:rsidR="00AA7FDB" w:rsidRDefault="00AA7FDB" w:rsidP="00AA7FDB"/>
    <w:p w14:paraId="6B285C48" w14:textId="77777777" w:rsidR="00AA7FDB" w:rsidRDefault="00AA7FDB" w:rsidP="00AA7FDB"/>
    <w:p w14:paraId="708CAEC3" w14:textId="029C417B" w:rsidR="00E37DC3" w:rsidRPr="00590CBF" w:rsidRDefault="00E37DC3" w:rsidP="00BE34F0"/>
    <w:sectPr w:rsidR="00E37DC3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A1402E8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A7FD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8291E-86F7-4C36-A509-62335C7F8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2021-02-18T13:43:00Z</dcterms:created>
  <dcterms:modified xsi:type="dcterms:W3CDTF">2021-02-18T13:43:00Z</dcterms:modified>
</cp:coreProperties>
</file>