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CDB033" w14:textId="77777777" w:rsidR="00A27E52" w:rsidRPr="00672BA6" w:rsidRDefault="00A27E52" w:rsidP="00A27E52">
      <w:pPr>
        <w:pStyle w:val="Ttulo2"/>
        <w:spacing w:before="160"/>
      </w:pPr>
      <w:bookmarkStart w:id="1" w:name="_Toc82780682"/>
      <w:bookmarkStart w:id="2" w:name="_GoBack"/>
      <w:bookmarkEnd w:id="2"/>
      <w:r>
        <w:t>IBC</w:t>
      </w:r>
      <w:bookmarkEnd w:id="1"/>
    </w:p>
    <w:p w14:paraId="5DED641A" w14:textId="77777777" w:rsidR="00A27E52" w:rsidRDefault="00A27E52" w:rsidP="00A27E52">
      <w:pPr>
        <w:keepNext/>
        <w:jc w:val="center"/>
      </w:pPr>
      <w:r>
        <w:rPr>
          <w:noProof/>
        </w:rPr>
        <w:drawing>
          <wp:inline distT="0" distB="0" distL="0" distR="0" wp14:anchorId="153FF9E4" wp14:editId="52625BD8">
            <wp:extent cx="4248150" cy="3895725"/>
            <wp:effectExtent l="0" t="0" r="0" b="9525"/>
            <wp:docPr id="250" name="Imagem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0F89" w14:textId="77777777" w:rsidR="00A27E52" w:rsidRDefault="00A27E52" w:rsidP="00A27E52">
      <w:pPr>
        <w:pStyle w:val="Legenda"/>
      </w:pPr>
      <w:bookmarkStart w:id="3" w:name="_Toc82780273"/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4</w:t>
        </w:r>
      </w:fldSimple>
      <w:r>
        <w:t>: Exemplo de Sistema IBC</w:t>
      </w:r>
      <w:bookmarkEnd w:id="3"/>
    </w:p>
    <w:p w14:paraId="45ACE7A8" w14:textId="77777777" w:rsidR="00A27E52" w:rsidRDefault="00A27E52" w:rsidP="00A27E52">
      <w:r w:rsidRPr="001730AB">
        <w:t xml:space="preserve">Em um sistema de xaroparia, os IBC’s têm finalidade de armazenar os concentrados de produto </w:t>
      </w:r>
      <w:r w:rsidRPr="00B64BDC">
        <w:t>P1 e P2</w:t>
      </w:r>
      <w:r w:rsidRPr="001730AB">
        <w:t>. Em geral, os IBC’s são alocados em um rack automatizado ou não que permite agitação e inclinação variada de acordo com o volume de cada unidade</w:t>
      </w:r>
      <w:r>
        <w:t>.</w:t>
      </w:r>
    </w:p>
    <w:p w14:paraId="3D15D7F9" w14:textId="1903BAB6" w:rsidR="004A3645" w:rsidRPr="00A27E52" w:rsidRDefault="004A3645" w:rsidP="00A27E52"/>
    <w:sectPr w:rsidR="004A3645" w:rsidRPr="00A27E52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BB83AA" w14:textId="77777777" w:rsidR="00891F0B" w:rsidRDefault="00891F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7C5AD1">
      <w:trPr>
        <w:trHeight w:val="454"/>
      </w:trPr>
      <w:tc>
        <w:tcPr>
          <w:tcW w:w="2838" w:type="dxa"/>
          <w:vAlign w:val="center"/>
        </w:tcPr>
        <w:p w14:paraId="6016363D" w14:textId="6695268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C5AD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7C5AD1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8813CB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C7D3A7" w14:textId="77777777" w:rsidR="00891F0B" w:rsidRDefault="00891F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DC1591" w14:textId="77777777" w:rsidR="00891F0B" w:rsidRDefault="00891F0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7C5AD1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7C5AD1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6BE1F2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C5AD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816D39" w14:textId="77777777" w:rsidR="00891F0B" w:rsidRDefault="00891F0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84F30"/>
    <w:rsid w:val="000A6CD0"/>
    <w:rsid w:val="000C2F41"/>
    <w:rsid w:val="000C39CD"/>
    <w:rsid w:val="000E1A17"/>
    <w:rsid w:val="001013D9"/>
    <w:rsid w:val="00106BE5"/>
    <w:rsid w:val="00112450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64F30"/>
    <w:rsid w:val="00377FF5"/>
    <w:rsid w:val="00380CFD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A3645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A5580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20FA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91506"/>
    <w:rsid w:val="006E21FB"/>
    <w:rsid w:val="0071055F"/>
    <w:rsid w:val="007214CD"/>
    <w:rsid w:val="007236A2"/>
    <w:rsid w:val="0076112A"/>
    <w:rsid w:val="00792E91"/>
    <w:rsid w:val="007A66B2"/>
    <w:rsid w:val="007C1C63"/>
    <w:rsid w:val="007C5AD1"/>
    <w:rsid w:val="007E1954"/>
    <w:rsid w:val="00806418"/>
    <w:rsid w:val="00827F36"/>
    <w:rsid w:val="008333F7"/>
    <w:rsid w:val="00847E4D"/>
    <w:rsid w:val="008572A0"/>
    <w:rsid w:val="008608BB"/>
    <w:rsid w:val="008609F9"/>
    <w:rsid w:val="00871EE8"/>
    <w:rsid w:val="008727FA"/>
    <w:rsid w:val="00882241"/>
    <w:rsid w:val="00883576"/>
    <w:rsid w:val="00891F0B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0503A"/>
    <w:rsid w:val="00A11E2C"/>
    <w:rsid w:val="00A21B31"/>
    <w:rsid w:val="00A27E52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A1A88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5A5580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78DDD0-3A08-4E68-BD34-F5059D4D4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68</cp:revision>
  <cp:lastPrinted>2020-11-11T17:03:00Z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