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E5407" w14:textId="77777777" w:rsidR="00D61762" w:rsidRPr="005C3482" w:rsidRDefault="00D61762" w:rsidP="00D61762">
      <w:pPr>
        <w:pStyle w:val="Ttulo3"/>
      </w:pPr>
      <w:bookmarkStart w:id="1" w:name="_GoBack"/>
      <w:bookmarkEnd w:id="1"/>
      <w:r w:rsidRPr="005C3482">
        <w:t>Filtros preliminares</w:t>
      </w:r>
    </w:p>
    <w:p w14:paraId="3C9A8BBA" w14:textId="77777777" w:rsidR="00D61762" w:rsidRDefault="00D61762" w:rsidP="00D61762">
      <w:pPr>
        <w:keepNext/>
        <w:jc w:val="center"/>
      </w:pPr>
      <w:r w:rsidRPr="005C3482">
        <w:rPr>
          <w:noProof/>
        </w:rPr>
        <w:drawing>
          <wp:inline distT="0" distB="0" distL="0" distR="0" wp14:anchorId="6E7B5509" wp14:editId="0C7A3CF3">
            <wp:extent cx="3496163" cy="290553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29BA" w14:textId="77777777" w:rsidR="00D61762" w:rsidRDefault="00D61762" w:rsidP="00D6176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7</w:t>
        </w:r>
      </w:fldSimple>
      <w:r>
        <w:t>: Filtros preliminares</w:t>
      </w:r>
    </w:p>
    <w:tbl>
      <w:tblPr>
        <w:tblW w:w="4223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</w:tblGrid>
      <w:tr w:rsidR="00D61762" w:rsidRPr="001A5CEB" w14:paraId="6E08F5E8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207F2A" w14:textId="77777777" w:rsidR="00D61762" w:rsidRPr="001A5CEB" w:rsidRDefault="00D61762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85200256"/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ABB49BF" w14:textId="77777777" w:rsidR="00D61762" w:rsidRPr="001A5CEB" w:rsidRDefault="00D61762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D61762" w:rsidRPr="001A5CEB" w14:paraId="56B19C18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CEB718" w14:textId="77777777" w:rsidR="00D61762" w:rsidRPr="001A5CEB" w:rsidRDefault="00D61762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53109F" w14:textId="77777777" w:rsidR="00D61762" w:rsidRPr="001A5CEB" w:rsidRDefault="00D61762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Filtros preliminares</w:t>
            </w:r>
          </w:p>
        </w:tc>
      </w:tr>
      <w:bookmarkEnd w:id="2"/>
    </w:tbl>
    <w:p w14:paraId="76BE39FA" w14:textId="77777777" w:rsidR="00D61762" w:rsidRDefault="00D61762" w:rsidP="00D61762"/>
    <w:p w14:paraId="7AC33649" w14:textId="77777777" w:rsidR="00D61762" w:rsidRDefault="00D61762" w:rsidP="00D61762">
      <w:r>
        <w:t>Os filtros preliminares limpam o gás injetado antes de entrar no filtro de gás.</w:t>
      </w:r>
    </w:p>
    <w:p w14:paraId="2E068223" w14:textId="77777777" w:rsidR="00D61762" w:rsidRDefault="00D61762" w:rsidP="00D61762">
      <w:r>
        <w:t>O gás injetado deve ser fornecido de acordo com as informações contidas no capítulo “</w:t>
      </w:r>
      <w:r w:rsidRPr="005C3482">
        <w:rPr>
          <w:i/>
          <w:iCs/>
        </w:rPr>
        <w:t>Dados técnicos</w:t>
      </w:r>
      <w:r>
        <w:t>”.</w:t>
      </w:r>
    </w:p>
    <w:p w14:paraId="332B18B3" w14:textId="33CC0ABC" w:rsidR="007A66B2" w:rsidRPr="00614D25" w:rsidRDefault="00D61762" w:rsidP="007D58AE">
      <w:r>
        <w:t>Para mais informações veja “</w:t>
      </w:r>
      <w:r w:rsidRPr="005C3482">
        <w:rPr>
          <w:i/>
          <w:iCs/>
        </w:rPr>
        <w:t>Documentação de peças de fornecedores</w:t>
      </w:r>
      <w:r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BBB10" w14:textId="77777777" w:rsidR="001C61A9" w:rsidRDefault="001C61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C61A9">
      <w:trPr>
        <w:trHeight w:val="454"/>
      </w:trPr>
      <w:tc>
        <w:tcPr>
          <w:tcW w:w="2838" w:type="dxa"/>
          <w:vAlign w:val="center"/>
        </w:tcPr>
        <w:p w14:paraId="6016363D" w14:textId="0CF0F42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C61A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C61A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DADD7" w14:textId="77777777" w:rsidR="001C61A9" w:rsidRDefault="001C61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6460F" w14:textId="77777777" w:rsidR="001C61A9" w:rsidRDefault="001C61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C61A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C61A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A732F9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61A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6C221" w14:textId="77777777" w:rsidR="001C61A9" w:rsidRDefault="001C61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C61A9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1762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E5E5A-394F-4630-AE26-C63037FAE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