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6E62E9" w14:textId="77777777" w:rsidR="002F046E" w:rsidRDefault="002F046E" w:rsidP="002F046E">
      <w:pPr>
        <w:pStyle w:val="Ttulo3"/>
      </w:pPr>
      <w:bookmarkStart w:id="1" w:name="_Toc56067932"/>
      <w:bookmarkStart w:id="2" w:name="_GoBack"/>
      <w:bookmarkEnd w:id="2"/>
      <w:r>
        <w:t>Filtro de gás de pressurização</w:t>
      </w:r>
      <w:bookmarkEnd w:id="1"/>
    </w:p>
    <w:p w14:paraId="30D54A1B" w14:textId="77777777" w:rsidR="002F046E" w:rsidRPr="00F04F55" w:rsidRDefault="002F046E" w:rsidP="002F046E">
      <w:pPr>
        <w:rPr>
          <w:b/>
          <w:bCs/>
        </w:rPr>
      </w:pPr>
      <w:r w:rsidRPr="00F04F55">
        <w:rPr>
          <w:b/>
          <w:bCs/>
        </w:rPr>
        <w:t>Estrutura</w:t>
      </w:r>
    </w:p>
    <w:p w14:paraId="0188AFE6" w14:textId="77777777" w:rsidR="002F046E" w:rsidRDefault="002F046E" w:rsidP="002F046E">
      <w:pPr>
        <w:keepNext/>
        <w:jc w:val="center"/>
      </w:pPr>
      <w:r w:rsidRPr="00E7298E">
        <w:rPr>
          <w:b/>
          <w:bCs/>
          <w:noProof/>
        </w:rPr>
        <w:drawing>
          <wp:inline distT="0" distB="0" distL="0" distR="0" wp14:anchorId="4A2172DB" wp14:editId="0040067E">
            <wp:extent cx="3191320" cy="3248478"/>
            <wp:effectExtent l="0" t="0" r="9525" b="952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0C5F8" w14:textId="77777777" w:rsidR="002F046E" w:rsidRDefault="002F046E" w:rsidP="002F046E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E36528">
        <w:t>: Filtro de gás de pressurização</w:t>
      </w:r>
    </w:p>
    <w:tbl>
      <w:tblPr>
        <w:tblW w:w="3879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46"/>
        <w:gridCol w:w="3233"/>
      </w:tblGrid>
      <w:tr w:rsidR="002F046E" w:rsidRPr="00753A5C" w14:paraId="0DA31356" w14:textId="77777777" w:rsidTr="00221FFE">
        <w:trPr>
          <w:trHeight w:val="509"/>
          <w:jc w:val="center"/>
        </w:trPr>
        <w:tc>
          <w:tcPr>
            <w:tcW w:w="6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B47BCDF" w14:textId="77777777" w:rsidR="002F046E" w:rsidRPr="00753A5C" w:rsidRDefault="002F046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55995173"/>
            <w:r w:rsidRPr="00753A5C">
              <w:rPr>
                <w:rFonts w:eastAsia="Calibri"/>
                <w:b/>
              </w:rPr>
              <w:t>Nº</w:t>
            </w:r>
          </w:p>
        </w:tc>
        <w:tc>
          <w:tcPr>
            <w:tcW w:w="32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7A258D1A" w14:textId="77777777" w:rsidR="002F046E" w:rsidRPr="00753A5C" w:rsidRDefault="002F046E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753A5C">
              <w:rPr>
                <w:rFonts w:eastAsia="Calibri"/>
                <w:b/>
              </w:rPr>
              <w:t>Descrição</w:t>
            </w:r>
          </w:p>
        </w:tc>
      </w:tr>
      <w:tr w:rsidR="002F046E" w:rsidRPr="00753A5C" w14:paraId="231D363A" w14:textId="77777777" w:rsidTr="00221FFE">
        <w:trPr>
          <w:trHeight w:val="509"/>
          <w:jc w:val="center"/>
        </w:trPr>
        <w:tc>
          <w:tcPr>
            <w:tcW w:w="646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44298B81" w14:textId="77777777" w:rsidR="002F046E" w:rsidRPr="00753A5C" w:rsidRDefault="002F046E" w:rsidP="00221FFE">
            <w:pPr>
              <w:spacing w:after="0"/>
              <w:jc w:val="center"/>
              <w:rPr>
                <w:rFonts w:eastAsia="Calibri"/>
              </w:rPr>
            </w:pPr>
            <w:r w:rsidRPr="00753A5C">
              <w:rPr>
                <w:rFonts w:eastAsia="Calibri"/>
              </w:rPr>
              <w:t>1</w:t>
            </w:r>
          </w:p>
        </w:tc>
        <w:tc>
          <w:tcPr>
            <w:tcW w:w="323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8D9B5B9" w14:textId="77777777" w:rsidR="002F046E" w:rsidRPr="00753A5C" w:rsidRDefault="002F046E" w:rsidP="00221FFE">
            <w:pPr>
              <w:spacing w:after="0"/>
              <w:rPr>
                <w:rFonts w:eastAsia="Calibri"/>
              </w:rPr>
            </w:pPr>
            <w:r>
              <w:rPr>
                <w:rFonts w:eastAsia="Calibri"/>
              </w:rPr>
              <w:t>Velas do filtro</w:t>
            </w:r>
          </w:p>
        </w:tc>
      </w:tr>
      <w:bookmarkEnd w:id="3"/>
    </w:tbl>
    <w:p w14:paraId="32B61581" w14:textId="77777777" w:rsidR="002F046E" w:rsidRDefault="002F046E" w:rsidP="002F046E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F046E" w:rsidRPr="00423AD7" w14:paraId="06678F5B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E63C5D1" w14:textId="77777777" w:rsidR="002F046E" w:rsidRPr="00423AD7" w:rsidRDefault="002F046E" w:rsidP="00221FF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4A88F23" w14:textId="77777777" w:rsidR="002F046E" w:rsidRPr="001D1076" w:rsidRDefault="002F046E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7187EBA2" w14:textId="77777777" w:rsidR="002F046E" w:rsidRPr="00423AD7" w:rsidRDefault="002F046E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F046E" w:rsidRPr="00423AD7" w14:paraId="4F239952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DF33FF1" w14:textId="77777777" w:rsidR="002F046E" w:rsidRPr="00423AD7" w:rsidRDefault="002F046E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57CA5010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755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7E8EF00" w14:textId="77777777" w:rsidR="002F046E" w:rsidRPr="00650EFA" w:rsidRDefault="002F046E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650EFA">
              <w:rPr>
                <w:rFonts w:eastAsia="Arial Unicode MS" w:cs="Times New Roman"/>
                <w:i/>
              </w:rPr>
              <w:t>O gás de pressurização deve corresponder aos valores de ajuste que constam no capítulo “Dados técnicos”.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E257C70" w14:textId="77777777" w:rsidR="002F046E" w:rsidRPr="00423AD7" w:rsidRDefault="002F046E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16DE60" w14:textId="77777777" w:rsidR="0054003B" w:rsidRDefault="0054003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4003B">
      <w:trPr>
        <w:trHeight w:val="454"/>
      </w:trPr>
      <w:tc>
        <w:tcPr>
          <w:tcW w:w="2838" w:type="dxa"/>
          <w:vAlign w:val="center"/>
        </w:tcPr>
        <w:p w14:paraId="6016363D" w14:textId="33D6F1E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4003B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4003B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91F18B" w14:textId="77777777" w:rsidR="0054003B" w:rsidRDefault="0054003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97E78E" w14:textId="77777777" w:rsidR="0054003B" w:rsidRDefault="0054003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4003B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4003B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6E1EC87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4003B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857510" w14:textId="77777777" w:rsidR="0054003B" w:rsidRDefault="0054003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98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046E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003B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3946A-05A5-41DF-90CB-096FEB54E5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</Words>
  <Characters>331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