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5E292FBD" w:rsidR="00E84261" w:rsidRDefault="009005F3" w:rsidP="00F167DA">
      <w:pPr>
        <w:pStyle w:val="Ttulo2"/>
      </w:pPr>
      <w:bookmarkStart w:id="1" w:name="_GoBack"/>
      <w:bookmarkEnd w:id="1"/>
      <w:r>
        <w:t>Isolamento e bloqueio de energias</w:t>
      </w:r>
    </w:p>
    <w:p w14:paraId="29AD3E66" w14:textId="57D21041" w:rsidR="00F167DA" w:rsidRPr="00F167DA" w:rsidRDefault="009005F3" w:rsidP="00F167DA">
      <w:r>
        <w:t>O isolamento e bloqueio de energias</w:t>
      </w:r>
      <w:r w:rsidR="00F167DA">
        <w:t xml:space="preserve"> é </w:t>
      </w:r>
      <w:r>
        <w:t>efetuado</w:t>
      </w:r>
      <w:r w:rsidR="00F167DA">
        <w:t xml:space="preserve"> através de componentes de outra máquina. Consulte o capítulo “Estrutura e funcionamento” seção “Áreas”.</w:t>
      </w:r>
    </w:p>
    <w:sectPr w:rsidR="00F167DA" w:rsidRPr="00F167DA" w:rsidSect="009D65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F6B21" w14:textId="77777777" w:rsidR="009D6540" w:rsidRDefault="009D65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62180">
      <w:trPr>
        <w:trHeight w:val="454"/>
      </w:trPr>
      <w:tc>
        <w:tcPr>
          <w:tcW w:w="2838" w:type="dxa"/>
          <w:vAlign w:val="center"/>
        </w:tcPr>
        <w:p w14:paraId="6016363D" w14:textId="5BA6EBF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6218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6218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0AA43" w14:textId="77777777" w:rsidR="009D6540" w:rsidRDefault="009D65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AA58A2" w14:textId="77777777" w:rsidR="009D6540" w:rsidRDefault="009D65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62180">
      <w:trPr>
        <w:trHeight w:val="369"/>
      </w:trPr>
      <w:tc>
        <w:tcPr>
          <w:tcW w:w="963" w:type="dxa"/>
          <w:vMerge w:val="restart"/>
        </w:tcPr>
        <w:p w14:paraId="63EDE0D4" w14:textId="15DEAA38" w:rsidR="00892515" w:rsidRDefault="000769A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A34D4CD" wp14:editId="77D4879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6218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267402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6218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4347B" w14:textId="77777777" w:rsidR="009D6540" w:rsidRDefault="009D65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769A7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05F3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D6540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EA5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2180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DF099B-E4B6-40E4-A20E-9466C1F0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2022-07-15T15:16:00Z</dcterms:modified>
</cp:coreProperties>
</file>