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BA23C4A" w:rsidR="0076251E" w:rsidRDefault="00AF42A9" w:rsidP="00AF42A9">
      <w:pPr>
        <w:pStyle w:val="Ttulo2"/>
      </w:pPr>
      <w:bookmarkStart w:id="1" w:name="_GoBack"/>
      <w:bookmarkEnd w:id="1"/>
      <w:r>
        <w:t>Estabelecer prontidão operacional</w:t>
      </w:r>
    </w:p>
    <w:p w14:paraId="47562CB3" w14:textId="77777777" w:rsidR="00AF42A9" w:rsidRPr="00AF42A9" w:rsidRDefault="00AF42A9" w:rsidP="00E6374C">
      <w:pPr>
        <w:pStyle w:val="Ttulo3"/>
      </w:pPr>
      <w:r w:rsidRPr="00AF42A9">
        <w:t>Abrir as válvulas de bloqueio manual</w:t>
      </w:r>
    </w:p>
    <w:p w14:paraId="4FA07134" w14:textId="78BC9D6F" w:rsidR="00AF42A9" w:rsidRDefault="00AF42A9" w:rsidP="00AF42A9">
      <w:r>
        <w:t>Nos manifolds das válvulas, abrir as válvulas de bloqueio manual nos canais de fluidos.</w:t>
      </w:r>
    </w:p>
    <w:p w14:paraId="1BE713E6" w14:textId="77777777" w:rsidR="00E6374C" w:rsidRDefault="00E6374C" w:rsidP="00AF42A9">
      <w:pPr>
        <w:rPr>
          <w:b/>
          <w:bCs/>
        </w:rPr>
      </w:pPr>
    </w:p>
    <w:p w14:paraId="6C30E974" w14:textId="3AF674AE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6CD39194" w14:textId="77777777" w:rsidTr="00AF42A9">
        <w:tc>
          <w:tcPr>
            <w:tcW w:w="3402" w:type="dxa"/>
            <w:hideMark/>
          </w:tcPr>
          <w:p w14:paraId="7726C6A3" w14:textId="2DD29DE8" w:rsidR="00AF42A9" w:rsidRDefault="005D4BF5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259F56D9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1C343524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14D830F6" wp14:editId="44DB1CA4">
            <wp:extent cx="4467849" cy="3324689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5E4" w14:textId="522C2F73" w:rsidR="00AF42A9" w:rsidRDefault="00AF42A9" w:rsidP="00AF42A9">
      <w:pPr>
        <w:pStyle w:val="Legenda"/>
      </w:pPr>
      <w:r>
        <w:t xml:space="preserve">Figura </w:t>
      </w:r>
      <w:r w:rsidR="00761FB9">
        <w:fldChar w:fldCharType="begin"/>
      </w:r>
      <w:r w:rsidR="00761FB9">
        <w:instrText xml:space="preserve"> STYLEREF 1 \s </w:instrText>
      </w:r>
      <w:r w:rsidR="00761FB9">
        <w:fldChar w:fldCharType="separate"/>
      </w:r>
      <w:r w:rsidR="00761FB9">
        <w:rPr>
          <w:b/>
          <w:bCs/>
          <w:noProof/>
        </w:rPr>
        <w:t>Erro! Nenhum texto com o estilo especificado foi encontrado no documento.</w:t>
      </w:r>
      <w:r w:rsidR="00761FB9">
        <w:fldChar w:fldCharType="end"/>
      </w:r>
      <w:r w:rsidR="00761FB9">
        <w:noBreakHyphen/>
      </w:r>
      <w:fldSimple w:instr=" SEQ Figura \* ARABIC \s 1 ">
        <w:r w:rsidR="00761FB9">
          <w:rPr>
            <w:noProof/>
          </w:rPr>
          <w:t>2</w:t>
        </w:r>
      </w:fldSimple>
      <w:r>
        <w:t xml:space="preserve">: </w:t>
      </w:r>
      <w:r w:rsidRPr="00F96E66">
        <w:t>Abrir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1E561D9A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8CC0A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86F0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B83FC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728B4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605CCDD0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A6B9E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F81F6" w14:textId="576D9ACF" w:rsidR="00AF42A9" w:rsidRPr="00C465C0" w:rsidRDefault="00AF42A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93FC" w14:textId="77777777" w:rsidR="00AF42A9" w:rsidRPr="00C465C0" w:rsidRDefault="00AF42A9" w:rsidP="00E96ED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DEE750" w14:textId="76D4F2A5" w:rsidR="00AF42A9" w:rsidRPr="00C465C0" w:rsidRDefault="00AF42A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tr w:rsidR="00AF42A9" w:rsidRPr="00C465C0" w14:paraId="6FDA52E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265" w14:textId="2C6EC8FC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FED239" w14:textId="49F5D208" w:rsidR="00AF42A9" w:rsidRDefault="00AF42A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38CE8" w14:textId="77777777" w:rsidR="00AF42A9" w:rsidRDefault="00AF42A9" w:rsidP="00E96ED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D15C99" w14:textId="77777777" w:rsidR="00AF42A9" w:rsidRDefault="00AF42A9" w:rsidP="00E96ED5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9314BF" w14:textId="21715C79" w:rsidR="00AF42A9" w:rsidRDefault="00AF42A9" w:rsidP="00E6374C">
      <w:pPr>
        <w:spacing w:after="0"/>
      </w:pPr>
    </w:p>
    <w:p w14:paraId="78E731E3" w14:textId="6E847FB8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Puxar a trava na alavanca de bloqueio e girar a alavanca em um ângulo de 90°, em sentido tal que ela fique paralela à tubulação.</w:t>
      </w:r>
    </w:p>
    <w:p w14:paraId="5871B9EA" w14:textId="33983643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Soltar a trava novamente.</w:t>
      </w:r>
    </w:p>
    <w:p w14:paraId="1DF627F1" w14:textId="40DE3192" w:rsidR="00AF42A9" w:rsidRDefault="00AF42A9" w:rsidP="00E96ED5">
      <w:pPr>
        <w:pStyle w:val="PargrafodaLista"/>
        <w:numPr>
          <w:ilvl w:val="0"/>
          <w:numId w:val="5"/>
        </w:numPr>
        <w:spacing w:before="120" w:after="120"/>
        <w:ind w:left="1094" w:hanging="357"/>
        <w:contextualSpacing w:val="0"/>
      </w:pPr>
      <w:r>
        <w:t>A válvula de bloqueio manual está aberta.</w:t>
      </w:r>
    </w:p>
    <w:p w14:paraId="14F54ACD" w14:textId="3F73C528" w:rsidR="00AF42A9" w:rsidRDefault="00AF42A9" w:rsidP="00E96ED5">
      <w:pPr>
        <w:pStyle w:val="PargrafodaLista"/>
        <w:numPr>
          <w:ilvl w:val="0"/>
          <w:numId w:val="4"/>
        </w:numPr>
        <w:spacing w:before="120" w:after="0"/>
        <w:ind w:left="714" w:hanging="357"/>
        <w:contextualSpacing w:val="0"/>
      </w:pPr>
      <w:r>
        <w:lastRenderedPageBreak/>
        <w:t>Mover a alavanca de bloqueio sem a trava para frente e para trás, para verificar se a alavanca de bloqueio está encaixada.</w:t>
      </w:r>
    </w:p>
    <w:p w14:paraId="575F6ADE" w14:textId="77777777" w:rsidR="00AF42A9" w:rsidRDefault="00AF42A9" w:rsidP="00E6374C">
      <w:pPr>
        <w:spacing w:after="0" w:line="259" w:lineRule="auto"/>
        <w:jc w:val="left"/>
      </w:pPr>
      <w:r>
        <w:br w:type="page"/>
      </w:r>
    </w:p>
    <w:p w14:paraId="7CF789F0" w14:textId="1D773B2D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lastRenderedPageBreak/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0FD03193" w14:textId="77777777" w:rsidTr="00AF42A9">
        <w:tc>
          <w:tcPr>
            <w:tcW w:w="3402" w:type="dxa"/>
            <w:hideMark/>
          </w:tcPr>
          <w:p w14:paraId="1467184C" w14:textId="24580D21" w:rsidR="00AF42A9" w:rsidRDefault="005D4BF5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521BCE8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44F6FF3" w14:textId="77777777" w:rsidR="00AF42A9" w:rsidRDefault="00AF42A9" w:rsidP="00AF42A9">
      <w:pPr>
        <w:keepNext/>
        <w:spacing w:before="120" w:after="120"/>
        <w:jc w:val="center"/>
      </w:pPr>
      <w:r w:rsidRPr="00AF42A9">
        <w:rPr>
          <w:noProof/>
        </w:rPr>
        <w:drawing>
          <wp:inline distT="0" distB="0" distL="0" distR="0" wp14:anchorId="74E33D6C" wp14:editId="4CB8458E">
            <wp:extent cx="4982270" cy="3505689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22D" w14:textId="05257638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3</w:t>
        </w:r>
      </w:fldSimple>
      <w:r>
        <w:t xml:space="preserve">: </w:t>
      </w:r>
      <w:r w:rsidRPr="006F718C">
        <w:t>Abrir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CA9FD6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91019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71CEE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1DA1D7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D6849B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452DD4C7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6C5DF9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DDA58" w14:textId="0D85BB47" w:rsidR="00AF42A9" w:rsidRPr="00C465C0" w:rsidRDefault="00AF42A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475A" w14:textId="77777777" w:rsidR="00AF42A9" w:rsidRPr="00C465C0" w:rsidRDefault="00AF42A9" w:rsidP="00E96ED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3FD6C" w14:textId="77777777" w:rsidR="00AF42A9" w:rsidRPr="00C465C0" w:rsidRDefault="00AF42A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</w:tbl>
    <w:p w14:paraId="0333F369" w14:textId="1B481D1B" w:rsidR="00AF42A9" w:rsidRDefault="00AF42A9" w:rsidP="00AF42A9"/>
    <w:p w14:paraId="38914AFC" w14:textId="77777777" w:rsidR="00AF42A9" w:rsidRDefault="00AF42A9">
      <w:pPr>
        <w:spacing w:line="259" w:lineRule="auto"/>
        <w:jc w:val="left"/>
      </w:pPr>
      <w:r>
        <w:br w:type="page"/>
      </w:r>
    </w:p>
    <w:p w14:paraId="236CAD7B" w14:textId="0DC2EE4A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4</w:t>
        </w:r>
      </w:fldSimple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51BD137B" w:rsidR="00AF42A9" w:rsidRDefault="005D4BF5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5C7FEC07" w14:textId="77777777" w:rsidR="00A95C8E" w:rsidRDefault="00A95C8E" w:rsidP="00A95C8E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328EB8C9" w14:textId="77777777" w:rsidR="00A95C8E" w:rsidRDefault="00A95C8E" w:rsidP="00A95C8E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69699391" w14:textId="77777777" w:rsidR="00761FB9" w:rsidRDefault="00761FB9" w:rsidP="00761FB9">
      <w:pPr>
        <w:pStyle w:val="PargrafodaLista"/>
      </w:pP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11" o:title=""/>
                </v:shape>
                <o:OLEObject Type="Embed" ProgID="CorelPHOTOPAINT.Image.13" ShapeID="_x0000_i1026" DrawAspect="Content" ObjectID="_1719402143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343001D" w14:textId="46C4EC96" w:rsidR="00761FB9" w:rsidRPr="00761FB9" w:rsidRDefault="00761FB9" w:rsidP="00761FB9">
      <w:pPr>
        <w:spacing w:before="120" w:after="120"/>
        <w:rPr>
          <w:b/>
          <w:bCs/>
        </w:rPr>
      </w:pPr>
      <w:r w:rsidRPr="00761FB9">
        <w:rPr>
          <w:b/>
          <w:bCs/>
        </w:rPr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E96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E6374C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40214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0A244E" w14:textId="6EE6EA6A" w:rsidR="00761FB9" w:rsidRDefault="00761FB9" w:rsidP="00761FB9"/>
    <w:p w14:paraId="2BBBC684" w14:textId="77777777" w:rsidR="00761FB9" w:rsidRDefault="00761FB9">
      <w:pPr>
        <w:spacing w:line="259" w:lineRule="auto"/>
        <w:jc w:val="left"/>
      </w:pPr>
      <w:r>
        <w:br w:type="page"/>
      </w:r>
    </w:p>
    <w:p w14:paraId="590AFCFC" w14:textId="77777777" w:rsidR="00761FB9" w:rsidRPr="00761FB9" w:rsidRDefault="00761FB9" w:rsidP="00761FB9">
      <w:pPr>
        <w:rPr>
          <w:b/>
          <w:bCs/>
        </w:rPr>
      </w:pPr>
      <w:r w:rsidRPr="00761FB9">
        <w:rPr>
          <w:b/>
          <w:bCs/>
        </w:rPr>
        <w:t>Preparar a sala higiênica</w:t>
      </w:r>
    </w:p>
    <w:p w14:paraId="2BEAEF31" w14:textId="503282E2" w:rsidR="00761FB9" w:rsidRDefault="00761FB9" w:rsidP="00761FB9">
      <w:r>
        <w:t>Antes que a produção com a sala higiênica possa iniciar, os ventiladores de filtragem devem operar por algumas horas com a máquina parada. Assim, o ar da sala higiênica é substituído por ar filtrado.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61FB9" w14:paraId="0E0D4BBF" w14:textId="77777777" w:rsidTr="00761FB9">
        <w:tc>
          <w:tcPr>
            <w:tcW w:w="3402" w:type="dxa"/>
            <w:hideMark/>
          </w:tcPr>
          <w:p w14:paraId="34A77DC7" w14:textId="0D5825F5" w:rsidR="00761FB9" w:rsidRDefault="005D4BF5">
            <w:pPr>
              <w:spacing w:before="240"/>
            </w:pPr>
            <w:r>
              <w:t>Pessoal</w:t>
            </w:r>
            <w:r w:rsidR="00761FB9">
              <w:t>:</w:t>
            </w:r>
          </w:p>
        </w:tc>
        <w:tc>
          <w:tcPr>
            <w:tcW w:w="5093" w:type="dxa"/>
            <w:hideMark/>
          </w:tcPr>
          <w:p w14:paraId="1891022E" w14:textId="77777777" w:rsidR="00761FB9" w:rsidRDefault="00761FB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3324AEFB" w14:textId="77777777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No console da navegação, selecionar a máquina sem componentes.</w:t>
      </w:r>
    </w:p>
    <w:p w14:paraId="3CD409C5" w14:textId="5216CF95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Tocar em “</w:t>
      </w:r>
      <w:r w:rsidRPr="00761FB9">
        <w:rPr>
          <w:i/>
          <w:iCs/>
        </w:rPr>
        <w:t xml:space="preserve">Parâmetros </w:t>
      </w:r>
      <w:r w:rsidRPr="00761FB9">
        <w:rPr>
          <w:rFonts w:ascii="Wingdings-Regular" w:hAnsi="Wingdings-Regular" w:cs="Wingdings-Regular"/>
        </w:rPr>
        <w:t>è</w:t>
      </w:r>
      <w:r w:rsidRPr="00761FB9">
        <w:rPr>
          <w:i/>
          <w:iCs/>
        </w:rPr>
        <w:t xml:space="preserve"> Sala higiênica</w:t>
      </w:r>
      <w:r>
        <w:t>”.</w:t>
      </w:r>
    </w:p>
    <w:p w14:paraId="327991E8" w14:textId="30C66D72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Na tela Sala higiênica, selecionar o modo de operação “</w:t>
      </w:r>
      <w:r w:rsidRPr="00761FB9">
        <w:rPr>
          <w:i/>
          <w:iCs/>
        </w:rPr>
        <w:t>Operação</w:t>
      </w:r>
      <w:r>
        <w:t>” ou “</w:t>
      </w:r>
      <w:r w:rsidRPr="00761FB9">
        <w:rPr>
          <w:i/>
          <w:iCs/>
        </w:rPr>
        <w:t>Eco</w:t>
      </w:r>
      <w:r>
        <w:t>”.</w:t>
      </w:r>
    </w:p>
    <w:p w14:paraId="50267379" w14:textId="01200AC2" w:rsidR="00761FB9" w:rsidRDefault="00761FB9" w:rsidP="00761FB9">
      <w:pPr>
        <w:pStyle w:val="PargrafodaLista"/>
        <w:numPr>
          <w:ilvl w:val="0"/>
          <w:numId w:val="5"/>
        </w:numPr>
        <w:spacing w:before="120" w:after="120"/>
        <w:ind w:left="1097" w:hanging="357"/>
        <w:contextualSpacing w:val="0"/>
      </w:pPr>
      <w:r>
        <w:t>O tempo restante até o início da produção está em contagem regressiva. Depois de transcorrido o tempo, o indicador de estado da prontidão de produção muda a cor de vermelho para verde.</w:t>
      </w:r>
    </w:p>
    <w:p w14:paraId="4549743E" w14:textId="77777777" w:rsidR="00761FB9" w:rsidRDefault="00761FB9" w:rsidP="00761FB9">
      <w:pPr>
        <w:pStyle w:val="PargrafodaLista"/>
        <w:spacing w:before="120" w:after="120"/>
        <w:ind w:left="1097"/>
        <w:contextualSpacing w:val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7BFC668E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0CDAAE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32E3AEC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F975749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4DFA2A16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CF74A07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A2B37E9">
                <v:shape id="_x0000_i1028" type="#_x0000_t75" style="width:20.25pt;height:31.5pt" o:ole="">
                  <v:imagedata r:id="rId11" o:title=""/>
                </v:shape>
                <o:OLEObject Type="Embed" ProgID="CorelPHOTOPAINT.Image.13" ShapeID="_x0000_i1028" DrawAspect="Content" ObjectID="_171940214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E9D963" w14:textId="64C7CF16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A produção só pode ser iniciada após transcorrido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tempo de preparação.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455C7F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77777777" w:rsidR="00761FB9" w:rsidRPr="00761FB9" w:rsidRDefault="00761FB9" w:rsidP="00761FB9">
      <w:pPr>
        <w:spacing w:before="120" w:after="120"/>
      </w:pPr>
    </w:p>
    <w:sectPr w:rsidR="00761FB9" w:rsidRPr="00761FB9" w:rsidSect="00114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3D214" w14:textId="77777777" w:rsidR="003659D2" w:rsidRDefault="003659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B6AB6">
      <w:trPr>
        <w:trHeight w:val="454"/>
      </w:trPr>
      <w:tc>
        <w:tcPr>
          <w:tcW w:w="2838" w:type="dxa"/>
          <w:vAlign w:val="center"/>
        </w:tcPr>
        <w:p w14:paraId="6016363D" w14:textId="76641F1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B6AB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B6AB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35B55" w14:textId="77777777" w:rsidR="003659D2" w:rsidRDefault="003659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0072E" w14:textId="77777777" w:rsidR="003659D2" w:rsidRDefault="003659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B6AB6">
      <w:trPr>
        <w:trHeight w:val="369"/>
      </w:trPr>
      <w:tc>
        <w:tcPr>
          <w:tcW w:w="963" w:type="dxa"/>
          <w:vMerge w:val="restart"/>
        </w:tcPr>
        <w:p w14:paraId="63EDE0D4" w14:textId="04219ED2" w:rsidR="00892515" w:rsidRDefault="003659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8D6857B" wp14:editId="78CB7315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B6AB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2DB58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B6AB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5EC7B" w14:textId="77777777" w:rsidR="003659D2" w:rsidRDefault="003659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59D2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4BF5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C5F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95C8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B6AB6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637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ED5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3AABD-A155-4FB6-8062-4D348E620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2022-07-15T16:59:00Z</dcterms:modified>
</cp:coreProperties>
</file>