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A3363" w14:textId="77777777" w:rsidR="00F6672F" w:rsidRPr="00A737CB" w:rsidRDefault="00F6672F" w:rsidP="00F6672F">
      <w:pPr>
        <w:pStyle w:val="Ttulo4"/>
        <w:spacing w:line="360" w:lineRule="auto"/>
      </w:pPr>
      <w:r w:rsidRPr="00A737CB">
        <w:t>Mesa de transferência lateral</w:t>
      </w:r>
    </w:p>
    <w:p w14:paraId="1D321131" w14:textId="77777777" w:rsidR="00F6672F" w:rsidRPr="00A737CB" w:rsidRDefault="00F6672F" w:rsidP="00F6672F">
      <w:pPr>
        <w:rPr>
          <w:b/>
          <w:bCs/>
        </w:rPr>
      </w:pPr>
      <w:r w:rsidRPr="00A737CB">
        <w:rPr>
          <w:b/>
          <w:bCs/>
        </w:rPr>
        <w:t>Estrutura</w:t>
      </w:r>
    </w:p>
    <w:p w14:paraId="24CA4F6E" w14:textId="77777777" w:rsidR="00F6672F" w:rsidRPr="00A737CB" w:rsidRDefault="00F6672F" w:rsidP="00F6672F">
      <w:pPr>
        <w:pStyle w:val="Legenda"/>
      </w:pPr>
      <w:r w:rsidRPr="00A737CB">
        <w:rPr>
          <w:noProof/>
        </w:rPr>
        <w:drawing>
          <wp:inline distT="0" distB="0" distL="0" distR="0" wp14:anchorId="313EEA1B" wp14:editId="55A7DC2F">
            <wp:extent cx="3674853" cy="3120427"/>
            <wp:effectExtent l="0" t="0" r="1905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178" cy="31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0560582" w14:textId="77777777" w:rsidR="00F6672F" w:rsidRPr="00A737CB" w:rsidRDefault="00F6672F" w:rsidP="00F6672F">
      <w:pPr>
        <w:pStyle w:val="Legenda"/>
      </w:pPr>
      <w:bookmarkStart w:id="2" w:name="_Toc45035226"/>
      <w:bookmarkStart w:id="3" w:name="_Toc45035262"/>
      <w:bookmarkStart w:id="4" w:name="_Toc49437649"/>
      <w:bookmarkStart w:id="5" w:name="_Toc49518377"/>
      <w:bookmarkStart w:id="6" w:name="_Toc50040375"/>
      <w:r w:rsidRPr="00A737CB">
        <w:t xml:space="preserve">Figura </w:t>
      </w:r>
      <w:r w:rsidRPr="00A737CB">
        <w:rPr>
          <w:lang w:val="es-419"/>
        </w:rPr>
        <w:fldChar w:fldCharType="begin"/>
      </w:r>
      <w:r w:rsidRPr="00A737CB">
        <w:instrText xml:space="preserve"> STYLEREF 1 \s </w:instrText>
      </w:r>
      <w:r w:rsidRPr="00A737CB">
        <w:rPr>
          <w:lang w:val="es-419"/>
        </w:rPr>
        <w:fldChar w:fldCharType="separate"/>
      </w:r>
      <w:r w:rsidRPr="00A737CB">
        <w:rPr>
          <w:noProof/>
        </w:rPr>
        <w:t>3</w:t>
      </w:r>
      <w:r w:rsidRPr="00A737CB">
        <w:rPr>
          <w:lang w:val="es-419"/>
        </w:rPr>
        <w:fldChar w:fldCharType="end"/>
      </w:r>
      <w:r w:rsidRPr="00A737CB">
        <w:noBreakHyphen/>
      </w:r>
      <w:r w:rsidRPr="00A737CB">
        <w:rPr>
          <w:lang w:val="es-419"/>
        </w:rPr>
        <w:fldChar w:fldCharType="begin"/>
      </w:r>
      <w:r w:rsidRPr="00A737CB">
        <w:instrText xml:space="preserve"> SEQ Figura \* ARABIC \s 1 </w:instrText>
      </w:r>
      <w:r w:rsidRPr="00A737CB">
        <w:rPr>
          <w:lang w:val="es-419"/>
        </w:rPr>
        <w:fldChar w:fldCharType="separate"/>
      </w:r>
      <w:r w:rsidRPr="00A737CB">
        <w:rPr>
          <w:noProof/>
        </w:rPr>
        <w:t>16</w:t>
      </w:r>
      <w:r w:rsidRPr="00A737CB">
        <w:rPr>
          <w:lang w:val="es-419"/>
        </w:rPr>
        <w:fldChar w:fldCharType="end"/>
      </w:r>
      <w:r w:rsidRPr="00A737CB">
        <w:t xml:space="preserve">: </w:t>
      </w:r>
      <w:bookmarkEnd w:id="2"/>
      <w:bookmarkEnd w:id="3"/>
      <w:bookmarkEnd w:id="4"/>
      <w:bookmarkEnd w:id="5"/>
      <w:bookmarkEnd w:id="6"/>
      <w:r w:rsidRPr="00A737CB">
        <w:rPr>
          <w:bCs/>
        </w:rPr>
        <w:t>mesa de transferência lateral</w:t>
      </w:r>
    </w:p>
    <w:p w14:paraId="7F1DF7D5" w14:textId="77777777" w:rsidR="00F6672F" w:rsidRPr="00A737CB" w:rsidRDefault="00F6672F" w:rsidP="00F6672F">
      <w:pPr>
        <w:rPr>
          <w:b/>
          <w:bCs/>
        </w:rPr>
      </w:pPr>
      <w:r w:rsidRPr="00A737CB">
        <w:rPr>
          <w:b/>
          <w:bCs/>
        </w:rPr>
        <w:t>Funcionamento</w:t>
      </w:r>
    </w:p>
    <w:p w14:paraId="3BB99BA5" w14:textId="77777777" w:rsidR="00F6672F" w:rsidRPr="00267DD7" w:rsidRDefault="00F6672F" w:rsidP="00F6672F">
      <w:r w:rsidRPr="00A737CB">
        <w:t>A Mesa de transferência lateral traciona as correntes. Para isso, um motor de acionamento atua as correntes através do eixo de transmissão e de rodas dentadas do acionamento.</w:t>
      </w:r>
    </w:p>
    <w:p w14:paraId="5A94D524" w14:textId="77777777" w:rsidR="00F6672F" w:rsidRPr="00267DD7" w:rsidRDefault="00F6672F" w:rsidP="00F6672F"/>
    <w:p w14:paraId="1AC1BBDE" w14:textId="77777777" w:rsidR="00F6672F" w:rsidRPr="00267DD7" w:rsidRDefault="00F6672F" w:rsidP="00F6672F"/>
    <w:p w14:paraId="1550FBCF" w14:textId="77777777" w:rsidR="00F6672F" w:rsidRPr="00267DD7" w:rsidRDefault="00F6672F" w:rsidP="00F6672F"/>
    <w:p w14:paraId="5ED8E49A" w14:textId="77777777" w:rsidR="00F6672F" w:rsidRPr="00267DD7" w:rsidRDefault="00F6672F" w:rsidP="00F6672F"/>
    <w:p w14:paraId="41C6CED2" w14:textId="77777777" w:rsidR="00F6672F" w:rsidRPr="00267DD7" w:rsidRDefault="00F6672F" w:rsidP="00F6672F"/>
    <w:p w14:paraId="02F93731" w14:textId="77777777" w:rsidR="00F6672F" w:rsidRPr="00267DD7" w:rsidRDefault="00F6672F" w:rsidP="00F6672F"/>
    <w:p w14:paraId="2DC711AB" w14:textId="77777777" w:rsidR="00F6672F" w:rsidRPr="00267DD7" w:rsidRDefault="00F6672F" w:rsidP="00F6672F"/>
    <w:p w14:paraId="48FD8FCF" w14:textId="77777777" w:rsidR="00F6672F" w:rsidRPr="00267DD7" w:rsidRDefault="00F6672F" w:rsidP="00F6672F"/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D1F7B49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6672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0C05F-3344-418F-A217-DC516126D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2021-02-18T13:21:00Z</dcterms:created>
  <dcterms:modified xsi:type="dcterms:W3CDTF">2021-02-18T13:21:00Z</dcterms:modified>
</cp:coreProperties>
</file>