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EAFAF" w14:textId="77777777" w:rsidR="009B50E1" w:rsidRPr="009B50E1" w:rsidRDefault="009B50E1" w:rsidP="009B50E1">
      <w:pPr>
        <w:pStyle w:val="Ttulo3"/>
      </w:pPr>
      <w:bookmarkStart w:id="1" w:name="_GoBack"/>
      <w:bookmarkEnd w:id="1"/>
      <w:r w:rsidRPr="009B50E1">
        <w:t>Alimentação do ar de controle</w:t>
      </w:r>
    </w:p>
    <w:p w14:paraId="0FA69DCD" w14:textId="77777777" w:rsidR="009B50E1" w:rsidRPr="00370209" w:rsidRDefault="009B50E1" w:rsidP="009B50E1">
      <w:pPr>
        <w:rPr>
          <w:b/>
          <w:bCs/>
        </w:rPr>
      </w:pPr>
      <w:r w:rsidRPr="00370209">
        <w:rPr>
          <w:b/>
          <w:bCs/>
        </w:rPr>
        <w:t>Funcionamento</w:t>
      </w:r>
    </w:p>
    <w:p w14:paraId="0600710E" w14:textId="77777777" w:rsidR="009B50E1" w:rsidRPr="009B50E1" w:rsidRDefault="009B50E1" w:rsidP="009B50E1">
      <w:r w:rsidRPr="009B50E1">
        <w:t>O quadro de comando local da máquina fornece o controle e os atuadores com ar de controle.</w:t>
      </w:r>
    </w:p>
    <w:p w14:paraId="59FDE6AC" w14:textId="77777777" w:rsidR="009B50E1" w:rsidRPr="009B50E1" w:rsidRDefault="009B50E1" w:rsidP="009B50E1">
      <w:r w:rsidRPr="009B50E1">
        <w:t>O ar de controle é fornecido aos quadros de comando local pelo lado do cliente. As válvulas de fechamento para fechar e abrir a alimentação do ar de controle estão nas linhas de abastecimento.</w:t>
      </w:r>
    </w:p>
    <w:p w14:paraId="7C874459" w14:textId="77777777" w:rsidR="009B50E1" w:rsidRPr="009B50E1" w:rsidRDefault="009B50E1" w:rsidP="009B50E1">
      <w:r w:rsidRPr="009B50E1">
        <w:t>Nos quadros de comando local ou junto deles encontram-se os redutores de pressão para o ajuste das pressões do ar de controle.</w:t>
      </w:r>
    </w:p>
    <w:p w14:paraId="6C5611CD" w14:textId="77777777" w:rsidR="009B50E1" w:rsidRPr="009B50E1" w:rsidRDefault="009B50E1" w:rsidP="009B50E1">
      <w:r w:rsidRPr="009B50E1">
        <w:t>Distribuição da alimentação de ar de controle para as máquinas: consulte o capítulo “Dados técnicos, fluxograma”.</w:t>
      </w:r>
    </w:p>
    <w:p w14:paraId="3CF5CEE6" w14:textId="77777777" w:rsidR="009B50E1" w:rsidRPr="009B50E1" w:rsidRDefault="009B50E1" w:rsidP="009B50E1">
      <w:r w:rsidRPr="009B50E1">
        <w:t>Requisitos do ar de controle e valores de ajuste: consulte o capítulo “Dados técnicos”, “Requisitos e valores de ajuste”.</w:t>
      </w:r>
    </w:p>
    <w:p w14:paraId="332B18B3" w14:textId="2BB06B77" w:rsidR="007A66B2" w:rsidRPr="009B50E1" w:rsidRDefault="007A66B2" w:rsidP="009B50E1"/>
    <w:sectPr w:rsidR="007A66B2" w:rsidRPr="009B50E1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EBE010" w14:textId="77777777" w:rsidR="00FB123D" w:rsidRDefault="00FB123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143A5">
      <w:trPr>
        <w:trHeight w:val="454"/>
      </w:trPr>
      <w:tc>
        <w:tcPr>
          <w:tcW w:w="2838" w:type="dxa"/>
          <w:vAlign w:val="center"/>
        </w:tcPr>
        <w:p w14:paraId="6016363D" w14:textId="2F8DAF5A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143A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143A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C30092C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307343" w14:textId="77777777" w:rsidR="00FB123D" w:rsidRDefault="00FB123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5E5E8A" w14:textId="77777777" w:rsidR="00FB123D" w:rsidRDefault="00FB123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A143A5">
      <w:trPr>
        <w:trHeight w:val="369"/>
      </w:trPr>
      <w:tc>
        <w:tcPr>
          <w:tcW w:w="963" w:type="dxa"/>
          <w:vMerge w:val="restart"/>
        </w:tcPr>
        <w:p w14:paraId="63EDE0D4" w14:textId="11ECCEEE" w:rsidR="00B91003" w:rsidRDefault="00A80C64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4CB46F9" wp14:editId="456E860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A143A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B89AE9C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143A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442D64" w14:textId="77777777" w:rsidR="00FB123D" w:rsidRDefault="00FB123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B50E1"/>
    <w:rsid w:val="009F64EB"/>
    <w:rsid w:val="00A005EA"/>
    <w:rsid w:val="00A011D9"/>
    <w:rsid w:val="00A11E2C"/>
    <w:rsid w:val="00A143A5"/>
    <w:rsid w:val="00A21B31"/>
    <w:rsid w:val="00A3556E"/>
    <w:rsid w:val="00A43FE4"/>
    <w:rsid w:val="00A55F50"/>
    <w:rsid w:val="00A80395"/>
    <w:rsid w:val="00A80C64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11AC5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123D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7604FD-915C-4B25-818C-81CA12F3D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