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6124F" w14:textId="3444800B" w:rsidR="003E0F64" w:rsidRPr="003E0F64" w:rsidRDefault="003E0F64" w:rsidP="005900B3">
      <w:pPr>
        <w:pStyle w:val="Ttulo3"/>
        <w:spacing w:after="240"/>
      </w:pPr>
      <w:bookmarkStart w:id="1" w:name="_GoBack"/>
      <w:bookmarkEnd w:id="1"/>
      <w:r>
        <w:t>Placa de distribuição</w:t>
      </w:r>
    </w:p>
    <w:p w14:paraId="355EE97F" w14:textId="77777777" w:rsidR="003E0F64" w:rsidRDefault="003E0F64" w:rsidP="003E0F64">
      <w:pPr>
        <w:keepNext/>
        <w:jc w:val="center"/>
      </w:pPr>
      <w:bookmarkStart w:id="2" w:name="_Hlk92872587"/>
      <w:r w:rsidRPr="003E0F64">
        <w:rPr>
          <w:noProof/>
        </w:rPr>
        <w:drawing>
          <wp:inline distT="0" distB="0" distL="0" distR="0" wp14:anchorId="7440313B" wp14:editId="5DAD9786">
            <wp:extent cx="2657846" cy="2657846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54B" w14:textId="325248FE" w:rsidR="003E0F64" w:rsidRDefault="003E0F64" w:rsidP="005900B3">
      <w:pPr>
        <w:pStyle w:val="Legenda"/>
        <w:spacing w:after="240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27673">
        <w:fldChar w:fldCharType="begin"/>
      </w:r>
      <w:r w:rsidR="00B27673">
        <w:instrText xml:space="preserve"> SEQ Figura \* ARABIC \s 1 </w:instrText>
      </w:r>
      <w:r w:rsidR="00B27673">
        <w:fldChar w:fldCharType="separate"/>
      </w:r>
      <w:r>
        <w:rPr>
          <w:noProof/>
        </w:rPr>
        <w:t>2</w:t>
      </w:r>
      <w:r w:rsidR="00B27673">
        <w:rPr>
          <w:noProof/>
        </w:rPr>
        <w:fldChar w:fldCharType="end"/>
      </w:r>
      <w:r>
        <w:t xml:space="preserve">: </w:t>
      </w:r>
      <w:r w:rsidRPr="00F1683C">
        <w:t>Exemplo ilustrativo de placa de distribuição</w:t>
      </w:r>
    </w:p>
    <w:p w14:paraId="6B267DC3" w14:textId="1398ED28" w:rsidR="003E0F64" w:rsidRDefault="003E0F64" w:rsidP="003E0F64">
      <w:r>
        <w:t xml:space="preserve">Placa de distribuição tem a finalidade de controlar e distribuir o fluido de forma manual através de conexões interligadas. Em geral, </w:t>
      </w:r>
      <w:r w:rsidR="003061C0">
        <w:t>a placa</w:t>
      </w:r>
      <w:r>
        <w:t xml:space="preserve"> de distribuição é compost</w:t>
      </w:r>
      <w:r w:rsidR="003061C0">
        <w:t>a</w:t>
      </w:r>
      <w:r>
        <w:t xml:space="preserve"> por um conjunto de válvulas manuais, válvulas automáticas, tubos de conexão (telefone) e uma placa estrutural metálica com conexões estáticas. As conexões estáticas devem ser previamente acopladas através de um tubo de conexão (telefone) objetivando o processo a ser executado.</w:t>
      </w:r>
    </w:p>
    <w:bookmarkEnd w:id="2"/>
    <w:p w14:paraId="6170EC9C" w14:textId="680EF1F2" w:rsidR="003E0F64" w:rsidRPr="003E0F64" w:rsidRDefault="003E0F64" w:rsidP="003E0F64">
      <w:pPr>
        <w:tabs>
          <w:tab w:val="left" w:pos="5685"/>
        </w:tabs>
      </w:pPr>
      <w:r>
        <w:tab/>
      </w:r>
    </w:p>
    <w:sectPr w:rsidR="003E0F64" w:rsidRPr="003E0F64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6FC4D" w14:textId="77777777" w:rsidR="00B27673" w:rsidRDefault="00B276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27673">
      <w:trPr>
        <w:trHeight w:val="454"/>
      </w:trPr>
      <w:tc>
        <w:tcPr>
          <w:tcW w:w="2838" w:type="dxa"/>
          <w:vAlign w:val="center"/>
        </w:tcPr>
        <w:p w14:paraId="6016363D" w14:textId="01D15DA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2767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2767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E297578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571604" w14:textId="77777777" w:rsidR="00B27673" w:rsidRDefault="00B276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B5361" w14:textId="77777777" w:rsidR="00B27673" w:rsidRDefault="00B276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27673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2767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9BAB0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2767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8617A" w14:textId="77777777" w:rsidR="00B27673" w:rsidRDefault="00B276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EE7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61C0"/>
    <w:rsid w:val="00307809"/>
    <w:rsid w:val="00343636"/>
    <w:rsid w:val="00377FF5"/>
    <w:rsid w:val="00383051"/>
    <w:rsid w:val="0038622C"/>
    <w:rsid w:val="00391BFF"/>
    <w:rsid w:val="003E0B3C"/>
    <w:rsid w:val="003E0F64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00B3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1618E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27673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CF3E79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6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9E44F3-7404-47A1-A385-BD73A1DB0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