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6495AED" w:rsidR="003D55B2" w:rsidRDefault="00184A4E" w:rsidP="003D55B2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444A778E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STYLEREF 1 \s </w:instrText>
      </w:r>
      <w:r w:rsidR="00224747">
        <w:rPr>
          <w:noProof/>
        </w:rP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 w:rsidR="00224747">
        <w:rPr>
          <w:noProof/>
        </w:rPr>
        <w:fldChar w:fldCharType="end"/>
      </w:r>
      <w:r>
        <w:noBreakHyphen/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SEQ Figura_ \* ARABIC \s 1 </w:instrText>
      </w:r>
      <w:r w:rsidR="00224747">
        <w:rPr>
          <w:noProof/>
        </w:rPr>
        <w:fldChar w:fldCharType="separate"/>
      </w:r>
      <w:r w:rsidR="00224747">
        <w:rPr>
          <w:noProof/>
        </w:rPr>
        <w:t>1</w:t>
      </w:r>
      <w:r w:rsidR="00224747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FF70629" w14:textId="77777777" w:rsidR="00444F70" w:rsidRDefault="00444F70" w:rsidP="00444F70">
      <w:r>
        <w:t>O botão de parada de emergência interrompe a área imediatamente.</w:t>
      </w:r>
    </w:p>
    <w:p w14:paraId="18341963" w14:textId="150A2697" w:rsidR="00444F70" w:rsidRDefault="00444F70" w:rsidP="00444F70">
      <w:r>
        <w:t>Para uma vista geral das áreas, consulte capítulo “Estrutura e funcionamento”, seção “Áreas”</w:t>
      </w:r>
    </w:p>
    <w:p w14:paraId="664FF666" w14:textId="603FFD6C" w:rsidR="003D55B2" w:rsidRPr="00966F83" w:rsidRDefault="00444F70" w:rsidP="00444F70">
      <w:r>
        <w:t>Operação do botão de parada de emergência, consulte capítulo “Operação”, seção “Dispositivos de proteção”.</w:t>
      </w:r>
      <w:r w:rsidR="003D55B2" w:rsidRPr="00966F83">
        <w:t xml:space="preserve"> </w:t>
      </w: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4"/>
      </w:tblGrid>
      <w:tr w:rsidR="003D55B2" w:rsidRPr="008E03FF" w14:paraId="50EE1D3C" w14:textId="77777777" w:rsidTr="00346E65">
        <w:trPr>
          <w:trHeight w:val="20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4AC9880" w14:textId="77777777" w:rsidR="003D55B2" w:rsidRPr="00966F83" w:rsidRDefault="003D55B2" w:rsidP="00346E65">
            <w:pPr>
              <w:spacing w:before="240"/>
              <w:jc w:val="center"/>
              <w:rPr>
                <w:rFonts w:eastAsia="Arial Unicode MS"/>
              </w:rPr>
            </w:pPr>
            <w:r w:rsidRPr="00966F83">
              <w:object w:dxaOrig="1439" w:dyaOrig="2860" w14:anchorId="759264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pt;height:33.3pt" o:ole="">
                  <v:imagedata r:id="rId9" o:title=""/>
                </v:shape>
                <o:OLEObject Type="Embed" ProgID="CorelPHOTOPAINT.Image.13" ShapeID="_x0000_i1025" DrawAspect="Content" ObjectID="_1680338658" r:id="rId10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C631A21" w14:textId="21A9992A" w:rsidR="003D55B2" w:rsidRPr="00181A15" w:rsidRDefault="00C45FA2" w:rsidP="00346E65">
            <w:pPr>
              <w:ind w:right="175"/>
              <w:rPr>
                <w:rFonts w:eastAsia="Arial Unicode MS"/>
                <w:iCs/>
                <w:color w:val="FF0000"/>
              </w:rPr>
            </w:pPr>
            <w:r>
              <w:t>Os interruptores de parada de emergência do transportador de recipientes e do transportador de embalagens têm efeito sobre ambas as máquinas. Cada um dos interruptores de parada de emergência para ambos os transportadores.</w:t>
            </w:r>
          </w:p>
        </w:tc>
      </w:tr>
    </w:tbl>
    <w:p w14:paraId="6D508AB3" w14:textId="1E22EB2A" w:rsidR="00E25B68" w:rsidRDefault="00E25B68" w:rsidP="003D55B2"/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1A250FA8" w14:textId="77777777" w:rsidR="00184A4E" w:rsidRDefault="00184A4E" w:rsidP="00184A4E">
      <w:pPr>
        <w:keepNext/>
        <w:jc w:val="center"/>
      </w:pPr>
      <w:r w:rsidRPr="00184A4E">
        <w:rPr>
          <w:noProof/>
        </w:rPr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3E71" w14:textId="48A46E96" w:rsidR="00184A4E" w:rsidRDefault="00184A4E" w:rsidP="00184A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 w:rsidR="00224747">
          <w:rPr>
            <w:noProof/>
          </w:rPr>
          <w:t>1</w:t>
        </w:r>
      </w:fldSimple>
      <w:r>
        <w:t xml:space="preserve">: </w:t>
      </w:r>
      <w:r w:rsidRPr="00D269A6">
        <w:t>Botão de parada de emergência acionado por cabo</w:t>
      </w:r>
    </w:p>
    <w:p w14:paraId="334E1453" w14:textId="6F3D543C" w:rsidR="00C81827" w:rsidRDefault="00C81827" w:rsidP="00C81827">
      <w:pPr>
        <w:pStyle w:val="FIGURA2019"/>
      </w:pP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D36FB1" w14:textId="77777777" w:rsidR="00C81827" w:rsidRPr="00E86579" w:rsidRDefault="00C81827" w:rsidP="00C81827">
            <w:pPr>
              <w:spacing w:before="60" w:after="60" w:line="276" w:lineRule="auto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70A667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8AC93BC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AC76BA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C81827" w:rsidRPr="00E86579" w14:paraId="1DE53470" w14:textId="77777777" w:rsidTr="00250342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CFCF3E" w14:textId="1AF363BB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rPr>
                <w:rFonts w:cs="Arial"/>
              </w:rPr>
              <w:t>Cabo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E2C81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0E266F" w14:textId="228B32A7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EEC0F7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 xml:space="preserve">rea de transporte </w:t>
      </w:r>
      <w:r w:rsidR="00C45FA2">
        <w:t>é parada</w:t>
      </w:r>
      <w:r w:rsidRPr="00C81827">
        <w:t>.</w:t>
      </w:r>
    </w:p>
    <w:p w14:paraId="1D108E6C" w14:textId="5BEE4AE0" w:rsidR="00C8182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Pr="00C81827">
        <w:rPr>
          <w:rFonts w:hint="eastAsia"/>
        </w:rPr>
        <w:t>“</w:t>
      </w:r>
      <w:r w:rsidRPr="00C81827">
        <w:t>Opera</w:t>
      </w:r>
      <w:r w:rsidRPr="00C81827">
        <w:rPr>
          <w:rFonts w:hint="eastAsia"/>
        </w:rPr>
        <w:t>çã</w:t>
      </w:r>
      <w:r w:rsidRPr="00C81827">
        <w:t>o</w:t>
      </w:r>
      <w:r w:rsidR="007D37F2"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>o</w:t>
      </w:r>
      <w:r w:rsidR="007D37F2">
        <w:t xml:space="preserve"> “</w:t>
      </w:r>
      <w:r w:rsidRPr="00C81827">
        <w:t>Dispositivos de prote</w:t>
      </w:r>
      <w:r w:rsidRPr="00C81827">
        <w:rPr>
          <w:rFonts w:hint="eastAsia"/>
        </w:rPr>
        <w:t>çã</w:t>
      </w:r>
      <w:r w:rsidRPr="00C81827">
        <w:t>o</w:t>
      </w:r>
      <w:r w:rsidR="007D37F2">
        <w:t>”</w:t>
      </w:r>
      <w:r w:rsidRPr="00C81827">
        <w:t>.</w:t>
      </w:r>
      <w:bookmarkStart w:id="6" w:name="_GoBack"/>
      <w:bookmarkEnd w:id="6"/>
    </w:p>
    <w:p w14:paraId="54A3CE8C" w14:textId="0C290B2A" w:rsidR="007D37F2" w:rsidRDefault="007D37F2" w:rsidP="00C81827"/>
    <w:p w14:paraId="3FC65626" w14:textId="77777777" w:rsidR="007D37F2" w:rsidRDefault="007D37F2" w:rsidP="007D37F2">
      <w:pPr>
        <w:rPr>
          <w:b/>
          <w:bCs/>
        </w:rPr>
      </w:pPr>
      <w:r w:rsidRPr="0009296A">
        <w:rPr>
          <w:b/>
          <w:bCs/>
        </w:rPr>
        <w:lastRenderedPageBreak/>
        <w:t>Os botões de parada de emergência estão colocados nos seguintes conjuntos:</w:t>
      </w:r>
    </w:p>
    <w:p w14:paraId="36E3CC1E" w14:textId="77777777" w:rsidR="007D37F2" w:rsidRDefault="007D37F2" w:rsidP="007D37F2">
      <w:pPr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39FE6A84" wp14:editId="704914A7">
            <wp:extent cx="3724275" cy="3676650"/>
            <wp:effectExtent l="0" t="0" r="9525" b="0"/>
            <wp:docPr id="5" name="Imagem 5" descr="Visão geral do local de montagem do botão de parada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6C58" w14:textId="77777777" w:rsidR="007D37F2" w:rsidRDefault="007D37F2" w:rsidP="007D37F2">
      <w:pPr>
        <w:jc w:val="center"/>
        <w:rPr>
          <w:i/>
          <w:iCs/>
          <w:sz w:val="18"/>
          <w:szCs w:val="18"/>
        </w:rPr>
      </w:pPr>
      <w:r w:rsidRPr="00545373">
        <w:rPr>
          <w:i/>
          <w:iCs/>
          <w:sz w:val="18"/>
          <w:szCs w:val="18"/>
        </w:rPr>
        <w:t xml:space="preserve">Figura  </w:t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STYLEREF 1 \s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 w:rsidRPr="00545373"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noBreakHyphen/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SEQ Figura_ \* ARABIC \s 1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t>: Visão geral do local de montagem do botão de parada de</w:t>
      </w:r>
      <w:r>
        <w:rPr>
          <w:i/>
          <w:iCs/>
          <w:sz w:val="18"/>
          <w:szCs w:val="18"/>
        </w:rPr>
        <w:t xml:space="preserve"> </w:t>
      </w:r>
      <w:r w:rsidRPr="00545373">
        <w:rPr>
          <w:i/>
          <w:iCs/>
          <w:sz w:val="18"/>
          <w:szCs w:val="18"/>
        </w:rPr>
        <w:t>emergência</w:t>
      </w:r>
    </w:p>
    <w:p w14:paraId="1D9DF891" w14:textId="7CBB56D0" w:rsidR="007D37F2" w:rsidRPr="00C81827" w:rsidRDefault="007D37F2" w:rsidP="007D37F2">
      <w:r w:rsidRPr="002327B3">
        <w:rPr>
          <w:b/>
          <w:bCs/>
          <w:i/>
          <w:iCs/>
          <w:noProof/>
          <w:sz w:val="18"/>
          <w:szCs w:val="18"/>
        </w:rPr>
        <w:drawing>
          <wp:inline distT="0" distB="0" distL="0" distR="0" wp14:anchorId="3EAA4E8B" wp14:editId="2693F859">
            <wp:extent cx="223837" cy="220084"/>
            <wp:effectExtent l="0" t="0" r="508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" cy="22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8E7">
        <w:t xml:space="preserve">  Botão de parada de emergência</w:t>
      </w:r>
    </w:p>
    <w:sectPr w:rsidR="007D37F2" w:rsidRPr="00C81827" w:rsidSect="007C1AB3">
      <w:headerReference w:type="default" r:id="rId14"/>
      <w:footerReference w:type="defaul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0E793942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D37F2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E39F9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D37F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44F70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D37F2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5FA2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F803A-E70B-4F9D-8730-1FC6438F5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2</cp:revision>
  <cp:lastPrinted>2020-06-26T20:45:00Z</cp:lastPrinted>
  <dcterms:created xsi:type="dcterms:W3CDTF">2021-04-19T14:58:00Z</dcterms:created>
  <dcterms:modified xsi:type="dcterms:W3CDTF">2021-04-19T14:58:00Z</dcterms:modified>
</cp:coreProperties>
</file>