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39388" w14:textId="77777777" w:rsidR="0069092A" w:rsidRDefault="0069092A" w:rsidP="0069092A">
      <w:pPr>
        <w:pStyle w:val="Ttulo3"/>
      </w:pPr>
      <w:bookmarkStart w:id="1" w:name="_Toc56067981"/>
      <w:bookmarkStart w:id="2" w:name="_Hlk59011962"/>
      <w:bookmarkStart w:id="3" w:name="_GoBack"/>
      <w:bookmarkEnd w:id="3"/>
      <w:r w:rsidRPr="00403EB5">
        <w:t>Controle do Manifold de válvulas</w:t>
      </w:r>
      <w:bookmarkEnd w:id="1"/>
    </w:p>
    <w:p w14:paraId="705FB978" w14:textId="77777777" w:rsidR="0069092A" w:rsidRPr="00FC1B13" w:rsidRDefault="0069092A" w:rsidP="0069092A">
      <w:pPr>
        <w:rPr>
          <w:b/>
          <w:bCs/>
        </w:rPr>
      </w:pPr>
      <w:r w:rsidRPr="00FC1B13">
        <w:rPr>
          <w:b/>
          <w:bCs/>
        </w:rPr>
        <w:t>Estrutura</w:t>
      </w:r>
    </w:p>
    <w:p w14:paraId="235B348B" w14:textId="77777777" w:rsidR="0069092A" w:rsidRDefault="0069092A" w:rsidP="0069092A">
      <w:pPr>
        <w:keepNext/>
        <w:jc w:val="center"/>
      </w:pPr>
      <w:r>
        <w:rPr>
          <w:noProof/>
        </w:rPr>
        <w:drawing>
          <wp:inline distT="0" distB="0" distL="0" distR="0" wp14:anchorId="55268C52" wp14:editId="42E21761">
            <wp:extent cx="4323715" cy="3428365"/>
            <wp:effectExtent l="0" t="0" r="635" b="635"/>
            <wp:docPr id="949340" name="Imagem 949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342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FB8D63" w14:textId="77777777" w:rsidR="0069092A" w:rsidRDefault="0069092A" w:rsidP="0069092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707D6">
        <w:fldChar w:fldCharType="begin"/>
      </w:r>
      <w:r w:rsidR="003707D6">
        <w:instrText xml:space="preserve"> SEQ Figura \* ARABIC \s 1 </w:instrText>
      </w:r>
      <w:r w:rsidR="003707D6">
        <w:fldChar w:fldCharType="separate"/>
      </w:r>
      <w:r>
        <w:rPr>
          <w:noProof/>
        </w:rPr>
        <w:t>1</w:t>
      </w:r>
      <w:r w:rsidR="003707D6">
        <w:rPr>
          <w:noProof/>
        </w:rPr>
        <w:fldChar w:fldCharType="end"/>
      </w:r>
      <w:r w:rsidRPr="00D23911">
        <w:t>: Manifold de válvulas (exemplo)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9092A" w:rsidRPr="004E1AA0" w14:paraId="73D056CB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96C0773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56005673"/>
            <w:r w:rsidRPr="004E1AA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66A39E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C9F99E6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DFDA8E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Descrição</w:t>
            </w:r>
          </w:p>
        </w:tc>
      </w:tr>
      <w:tr w:rsidR="0069092A" w:rsidRPr="004E1AA0" w14:paraId="30D94FE9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9EA874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4E1AA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B1239C" w14:textId="77777777" w:rsidR="0069092A" w:rsidRPr="004E1AA0" w:rsidRDefault="0069092A" w:rsidP="00221FFE">
            <w:pPr>
              <w:spacing w:after="0"/>
              <w:jc w:val="left"/>
              <w:rPr>
                <w:rFonts w:eastAsia="Calibri"/>
              </w:rPr>
            </w:pPr>
            <w:r w:rsidRPr="004E1AA0">
              <w:rPr>
                <w:rFonts w:eastAsia="Calibri"/>
              </w:rPr>
              <w:t>Módulos de conexão I/O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AFFDB9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4E1AA0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A58B2E" w14:textId="77777777" w:rsidR="0069092A" w:rsidRPr="004E1AA0" w:rsidRDefault="0069092A" w:rsidP="00221FFE">
            <w:pPr>
              <w:spacing w:after="0"/>
              <w:jc w:val="left"/>
              <w:rPr>
                <w:rFonts w:eastAsia="Calibri"/>
              </w:rPr>
            </w:pPr>
            <w:r w:rsidRPr="00616D1E">
              <w:rPr>
                <w:rFonts w:eastAsia="Calibri" w:cs="Times New Roman"/>
              </w:rPr>
              <w:t>Ilha de válvulas de 2/3 vias NC</w:t>
            </w:r>
          </w:p>
        </w:tc>
      </w:tr>
      <w:tr w:rsidR="0069092A" w:rsidRPr="004E1AA0" w14:paraId="0C6184A0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DB5C36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4E1AA0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6D50CB" w14:textId="77777777" w:rsidR="0069092A" w:rsidRPr="00616D1E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4E1AA0">
              <w:rPr>
                <w:rFonts w:eastAsia="Calibri" w:cs="Times New Roman"/>
              </w:rPr>
              <w:t>Válvulas de purga de segurança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C15909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4E1AA0"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816736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4E1AA0">
              <w:rPr>
                <w:rFonts w:eastAsia="Calibri"/>
              </w:rPr>
              <w:t>Grupo de manutenção</w:t>
            </w:r>
          </w:p>
        </w:tc>
      </w:tr>
      <w:tr w:rsidR="0069092A" w:rsidRPr="004E1AA0" w14:paraId="68E8D59A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2997DD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4E1AA0"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B3B36F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4E1AA0">
              <w:rPr>
                <w:rFonts w:eastAsia="Calibri" w:cs="Times New Roman"/>
                <w:lang w:val="es-CL"/>
              </w:rPr>
              <w:t>Válvulas de processo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F75B00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6AF93F" w14:textId="77777777" w:rsidR="0069092A" w:rsidRPr="00616D1E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</w:p>
        </w:tc>
      </w:tr>
      <w:bookmarkEnd w:id="4"/>
    </w:tbl>
    <w:p w14:paraId="47576E8E" w14:textId="77777777" w:rsidR="0069092A" w:rsidRDefault="0069092A" w:rsidP="0069092A"/>
    <w:p w14:paraId="00390FDD" w14:textId="77777777" w:rsidR="0069092A" w:rsidRDefault="0069092A" w:rsidP="0069092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8222F55" w14:textId="77777777" w:rsidR="0069092A" w:rsidRPr="00FC1B13" w:rsidRDefault="0069092A" w:rsidP="0069092A">
      <w:pPr>
        <w:rPr>
          <w:b/>
          <w:bCs/>
        </w:rPr>
      </w:pPr>
      <w:r w:rsidRPr="00FC1B13">
        <w:rPr>
          <w:b/>
          <w:bCs/>
        </w:rPr>
        <w:lastRenderedPageBreak/>
        <w:t>Funcionamento</w:t>
      </w:r>
    </w:p>
    <w:p w14:paraId="427EA380" w14:textId="77777777" w:rsidR="0069092A" w:rsidRDefault="0069092A" w:rsidP="0069092A">
      <w:r>
        <w:t>O programa de automação para a produção e limpeza controla as válvulas de processo e reguladores no Manifold de válvulas.</w:t>
      </w:r>
    </w:p>
    <w:p w14:paraId="0F5342A4" w14:textId="77777777" w:rsidR="0069092A" w:rsidRDefault="0069092A" w:rsidP="0069092A">
      <w:r>
        <w:t>Se não houver nenhum programa de automação ativo, o usuário pode controlar manualmente as válvulas de processo e reguladores através do diagrama da tela.</w:t>
      </w:r>
    </w:p>
    <w:p w14:paraId="08303897" w14:textId="77777777" w:rsidR="0069092A" w:rsidRDefault="0069092A" w:rsidP="0069092A">
      <w:r>
        <w:t>Se a tensão de comando da máquina está DESC., as válvulas de purga de segurança purgam todas as válvulas no manifold de válvulas. As válvulas de processo e as válvulas reguladoras ficam na sua posição inicial.</w:t>
      </w:r>
    </w:p>
    <w:p w14:paraId="3CF7B65F" w14:textId="77777777" w:rsidR="0069092A" w:rsidRDefault="0069092A" w:rsidP="0069092A">
      <w:r>
        <w:t>Um subgrupo das válvulas de processo são as válvulas de processo relevantes para a segurança. A vida útil das válvulas de processo relevantes para a segurança é monitorada. O fim da vida útil e o intervalo de manutenção são mostrados na tela.</w:t>
      </w:r>
    </w:p>
    <w:p w14:paraId="061C393A" w14:textId="77777777" w:rsidR="0069092A" w:rsidRDefault="0069092A" w:rsidP="0069092A">
      <w:r w:rsidRPr="004F6BDA">
        <w:t>As válvulas de processo são controladas com a ilha de válvulas de 2/3 vias NC. O fornecimento de tensão de comando dos módulos de conexão I/O acontece através do sistema de barramento de conexão I/O.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9092A" w:rsidRPr="00423AD7" w14:paraId="4D81F129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CC09F7" w14:textId="77777777" w:rsidR="0069092A" w:rsidRPr="00423AD7" w:rsidRDefault="0069092A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5A6FC6E" w14:textId="77777777" w:rsidR="0069092A" w:rsidRPr="001D1076" w:rsidRDefault="0069092A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22EEE8A" w14:textId="77777777" w:rsidR="0069092A" w:rsidRPr="00423AD7" w:rsidRDefault="0069092A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9092A" w:rsidRPr="00423AD7" w14:paraId="035FCB27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D0D813F" w14:textId="77777777" w:rsidR="0069092A" w:rsidRPr="00423AD7" w:rsidRDefault="0069092A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EC3DA89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85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A240F13" w14:textId="77777777" w:rsidR="0069092A" w:rsidRDefault="0069092A" w:rsidP="00221FFE">
            <w:pPr>
              <w:spacing w:after="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274BEA">
              <w:rPr>
                <w:rFonts w:eastAsia="Arial Unicode MS"/>
                <w:b/>
                <w:bCs/>
                <w:i/>
                <w:iCs/>
              </w:rPr>
              <w:t>Redução de ruído</w:t>
            </w:r>
          </w:p>
          <w:p w14:paraId="346326CB" w14:textId="77777777" w:rsidR="0069092A" w:rsidRPr="00215E02" w:rsidRDefault="0069092A" w:rsidP="00221FFE">
            <w:pPr>
              <w:spacing w:after="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274BEA">
              <w:rPr>
                <w:rFonts w:eastAsia="Arial Unicode MS" w:cs="Times New Roman"/>
                <w:i/>
              </w:rPr>
              <w:t>Há silenciadores nas válvulas de processo controladas por barramento, das quais é evacuado ar de controle.</w:t>
            </w:r>
          </w:p>
          <w:p w14:paraId="5AD3F9E2" w14:textId="77777777" w:rsidR="0069092A" w:rsidRPr="00274BEA" w:rsidRDefault="0069092A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274BEA">
              <w:rPr>
                <w:rFonts w:eastAsia="Arial Unicode MS" w:cs="Times New Roman"/>
                <w:i/>
              </w:rPr>
              <w:t>Por razões de proteção antirruído</w:t>
            </w:r>
            <w:r>
              <w:rPr>
                <w:rFonts w:eastAsia="Arial Unicode MS" w:cs="Times New Roman"/>
                <w:i/>
              </w:rPr>
              <w:t xml:space="preserve"> </w:t>
            </w:r>
            <w:r w:rsidRPr="00274BEA">
              <w:rPr>
                <w:rFonts w:eastAsia="Arial Unicode MS" w:cs="Times New Roman"/>
                <w:i/>
              </w:rPr>
              <w:t>não devem ser retirados estes silenciadores.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1263F87" w14:textId="77777777" w:rsidR="0069092A" w:rsidRPr="00423AD7" w:rsidRDefault="0069092A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0157FC" w14:textId="77777777" w:rsidR="0069092A" w:rsidRDefault="0069092A" w:rsidP="0069092A"/>
    <w:p w14:paraId="07991699" w14:textId="77777777" w:rsidR="0069092A" w:rsidRDefault="0069092A" w:rsidP="0069092A">
      <w:r w:rsidRPr="004F6BDA">
        <w:t>As válvulas distribuidoras de lubrificante montadas na lubrificação central são controladas diretamente de forma elétrica. A ilha de válvulas e as válvulas da lubrificação central são alimentadas diretamente com o fornecimento de tensão de comando.</w:t>
      </w:r>
    </w:p>
    <w:p w14:paraId="170499F7" w14:textId="77777777" w:rsidR="0069092A" w:rsidRDefault="0069092A" w:rsidP="0069092A">
      <w:pPr>
        <w:spacing w:line="259" w:lineRule="auto"/>
        <w:jc w:val="left"/>
      </w:pPr>
      <w:r>
        <w:br w:type="page"/>
      </w:r>
    </w:p>
    <w:p w14:paraId="26935CEB" w14:textId="77777777" w:rsidR="0069092A" w:rsidRDefault="0069092A" w:rsidP="0069092A">
      <w:pPr>
        <w:pStyle w:val="Ttulo3"/>
      </w:pPr>
      <w:bookmarkStart w:id="5" w:name="_Toc56067982"/>
      <w:r>
        <w:lastRenderedPageBreak/>
        <w:t>Módulos de conexão I/O</w:t>
      </w:r>
      <w:bookmarkEnd w:id="5"/>
    </w:p>
    <w:p w14:paraId="7E606215" w14:textId="77777777" w:rsidR="0069092A" w:rsidRPr="00FC1B13" w:rsidRDefault="0069092A" w:rsidP="0069092A">
      <w:pPr>
        <w:rPr>
          <w:b/>
          <w:bCs/>
        </w:rPr>
      </w:pPr>
      <w:r w:rsidRPr="00FC1B13">
        <w:rPr>
          <w:b/>
          <w:bCs/>
        </w:rPr>
        <w:t>Estrutura</w:t>
      </w:r>
    </w:p>
    <w:p w14:paraId="529FC11B" w14:textId="77777777" w:rsidR="0069092A" w:rsidRDefault="0069092A" w:rsidP="0069092A">
      <w:pPr>
        <w:keepNext/>
        <w:jc w:val="center"/>
      </w:pPr>
      <w:r>
        <w:rPr>
          <w:noProof/>
        </w:rPr>
        <w:drawing>
          <wp:inline distT="0" distB="0" distL="0" distR="0" wp14:anchorId="76A7CC29" wp14:editId="1E503EA0">
            <wp:extent cx="4323715" cy="1247775"/>
            <wp:effectExtent l="0" t="0" r="635" b="9525"/>
            <wp:docPr id="949341" name="Imagem 949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BFFDDA" w14:textId="77777777" w:rsidR="0069092A" w:rsidRDefault="0069092A" w:rsidP="0069092A">
      <w:pPr>
        <w:pStyle w:val="Legenda"/>
        <w:rPr>
          <w:noProof/>
        </w:rPr>
      </w:pPr>
      <w:bookmarkStart w:id="6" w:name="_Toc56071258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707D6">
        <w:fldChar w:fldCharType="begin"/>
      </w:r>
      <w:r w:rsidR="003707D6">
        <w:instrText xml:space="preserve"> SEQ Figura \* ARABIC \s 1 </w:instrText>
      </w:r>
      <w:r w:rsidR="003707D6">
        <w:fldChar w:fldCharType="separate"/>
      </w:r>
      <w:r>
        <w:rPr>
          <w:noProof/>
        </w:rPr>
        <w:t>2</w:t>
      </w:r>
      <w:r w:rsidR="003707D6">
        <w:rPr>
          <w:noProof/>
        </w:rPr>
        <w:fldChar w:fldCharType="end"/>
      </w:r>
      <w:r>
        <w:t xml:space="preserve">: </w:t>
      </w:r>
      <w:r w:rsidRPr="00A02500">
        <w:t>Mestre de conexão I/O</w:t>
      </w:r>
      <w:bookmarkEnd w:id="6"/>
    </w:p>
    <w:p w14:paraId="417A7441" w14:textId="77777777" w:rsidR="0069092A" w:rsidRDefault="0069092A" w:rsidP="0069092A"/>
    <w:p w14:paraId="11CAB636" w14:textId="77777777" w:rsidR="0069092A" w:rsidRDefault="0069092A" w:rsidP="0069092A">
      <w:pPr>
        <w:keepNext/>
        <w:jc w:val="center"/>
      </w:pPr>
      <w:r>
        <w:rPr>
          <w:noProof/>
        </w:rPr>
        <w:drawing>
          <wp:inline distT="0" distB="0" distL="0" distR="0" wp14:anchorId="077F522D" wp14:editId="3A8037DA">
            <wp:extent cx="4323715" cy="1247775"/>
            <wp:effectExtent l="0" t="0" r="635" b="9525"/>
            <wp:docPr id="949342" name="Imagem 949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BCEBDE" w14:textId="77777777" w:rsidR="0069092A" w:rsidRPr="007C538D" w:rsidRDefault="0069092A" w:rsidP="0069092A">
      <w:pPr>
        <w:pStyle w:val="Legenda"/>
      </w:pPr>
      <w:bookmarkStart w:id="7" w:name="_Toc56071259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707D6">
        <w:fldChar w:fldCharType="begin"/>
      </w:r>
      <w:r w:rsidR="003707D6">
        <w:instrText xml:space="preserve"> SEQ Figura \* ARABIC \s 1 </w:instrText>
      </w:r>
      <w:r w:rsidR="003707D6">
        <w:fldChar w:fldCharType="separate"/>
      </w:r>
      <w:r>
        <w:rPr>
          <w:noProof/>
        </w:rPr>
        <w:t>3</w:t>
      </w:r>
      <w:r w:rsidR="003707D6">
        <w:rPr>
          <w:noProof/>
        </w:rPr>
        <w:fldChar w:fldCharType="end"/>
      </w:r>
      <w:r>
        <w:t xml:space="preserve">: </w:t>
      </w:r>
      <w:r w:rsidRPr="0029749D">
        <w:t>Módulo de entrada de conexão I/O</w:t>
      </w:r>
      <w:bookmarkEnd w:id="7"/>
    </w:p>
    <w:p w14:paraId="72B16A9A" w14:textId="77777777" w:rsidR="0069092A" w:rsidRPr="00FC1B13" w:rsidRDefault="0069092A" w:rsidP="0069092A">
      <w:pPr>
        <w:rPr>
          <w:b/>
          <w:bCs/>
        </w:rPr>
      </w:pPr>
      <w:r w:rsidRPr="00FC1B13">
        <w:rPr>
          <w:b/>
          <w:bCs/>
        </w:rPr>
        <w:t>Funcionamento</w:t>
      </w:r>
    </w:p>
    <w:p w14:paraId="1B5396AD" w14:textId="77777777" w:rsidR="0069092A" w:rsidRDefault="0069092A" w:rsidP="0069092A">
      <w:r>
        <w:t>O controle da máquina controla todas as válvulas de meios através dos módulos de conexão I/O.</w:t>
      </w:r>
    </w:p>
    <w:p w14:paraId="70C820B8" w14:textId="77777777" w:rsidR="0069092A" w:rsidRDefault="0069092A" w:rsidP="0069092A">
      <w:r>
        <w:t>Os módulos de entrada de conexão I/O pegam sinais dos diversos sensores e os reenviam para os mestres de conexão I/O. O mestre de conexão I/O se comunica com o PLC. O mestre de conexão I/O reenvia os sinais para as ilhas de válvulas. As ilhas de válvulas reenviam os sinais para as válvulas de meios.</w:t>
      </w:r>
    </w:p>
    <w:p w14:paraId="489C23B0" w14:textId="77777777" w:rsidR="0069092A" w:rsidRDefault="0069092A" w:rsidP="0069092A">
      <w:r>
        <w:t>Os mestres de conexão I/O processam sinais digitais e analógicos.</w:t>
      </w:r>
    </w:p>
    <w:p w14:paraId="2911DFB2" w14:textId="77777777" w:rsidR="0069092A" w:rsidRDefault="0069092A" w:rsidP="0069092A">
      <w:r>
        <w:t>Os módulos de entrada de conexão I/O processam sinais digitais.</w:t>
      </w:r>
    </w:p>
    <w:p w14:paraId="2DBF7174" w14:textId="77777777" w:rsidR="0069092A" w:rsidRDefault="0069092A" w:rsidP="0069092A">
      <w:pPr>
        <w:spacing w:line="259" w:lineRule="auto"/>
        <w:jc w:val="left"/>
      </w:pPr>
      <w:r>
        <w:br w:type="page"/>
      </w:r>
    </w:p>
    <w:p w14:paraId="2470350D" w14:textId="77777777" w:rsidR="0069092A" w:rsidRDefault="0069092A" w:rsidP="0069092A">
      <w:pPr>
        <w:pStyle w:val="Ttulo3"/>
      </w:pPr>
      <w:bookmarkStart w:id="8" w:name="_Toc56067983"/>
      <w:r w:rsidRPr="00166473">
        <w:t>Válvulas de processo</w:t>
      </w:r>
      <w:bookmarkEnd w:id="8"/>
    </w:p>
    <w:p w14:paraId="7FAFF941" w14:textId="77777777" w:rsidR="0069092A" w:rsidRPr="00FC1B13" w:rsidRDefault="0069092A" w:rsidP="0069092A">
      <w:pPr>
        <w:rPr>
          <w:b/>
          <w:bCs/>
        </w:rPr>
      </w:pPr>
      <w:r w:rsidRPr="00FC1B13">
        <w:rPr>
          <w:b/>
          <w:bCs/>
        </w:rPr>
        <w:t>Estrutura</w:t>
      </w:r>
    </w:p>
    <w:p w14:paraId="1CFA2209" w14:textId="77777777" w:rsidR="0069092A" w:rsidRDefault="0069092A" w:rsidP="0069092A">
      <w:pPr>
        <w:keepNext/>
        <w:jc w:val="center"/>
      </w:pPr>
      <w:r>
        <w:rPr>
          <w:noProof/>
        </w:rPr>
        <w:drawing>
          <wp:inline distT="0" distB="0" distL="0" distR="0" wp14:anchorId="63EB862D" wp14:editId="5D876056">
            <wp:extent cx="1943100" cy="3571240"/>
            <wp:effectExtent l="0" t="0" r="0" b="0"/>
            <wp:docPr id="949343" name="Imagem 949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57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86AA4" w14:textId="77777777" w:rsidR="0069092A" w:rsidRDefault="0069092A" w:rsidP="0069092A">
      <w:pPr>
        <w:pStyle w:val="Legenda"/>
        <w:rPr>
          <w:noProof/>
        </w:rPr>
      </w:pPr>
      <w:bookmarkStart w:id="9" w:name="_Toc56071260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707D6">
        <w:fldChar w:fldCharType="begin"/>
      </w:r>
      <w:r w:rsidR="003707D6">
        <w:instrText xml:space="preserve"> SEQ Figura \* ARABIC \s 1 </w:instrText>
      </w:r>
      <w:r w:rsidR="003707D6">
        <w:fldChar w:fldCharType="separate"/>
      </w:r>
      <w:r>
        <w:rPr>
          <w:noProof/>
        </w:rPr>
        <w:t>4</w:t>
      </w:r>
      <w:r w:rsidR="003707D6">
        <w:rPr>
          <w:noProof/>
        </w:rPr>
        <w:fldChar w:fldCharType="end"/>
      </w:r>
      <w:r>
        <w:t xml:space="preserve">: </w:t>
      </w:r>
      <w:r w:rsidRPr="005C374A">
        <w:t>Válvula de processo</w:t>
      </w:r>
      <w:bookmarkEnd w:id="9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9092A" w:rsidRPr="005014B8" w14:paraId="525EEEF7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F1FF855" w14:textId="77777777" w:rsidR="0069092A" w:rsidRPr="005014B8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5014B8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886BE28" w14:textId="77777777" w:rsidR="0069092A" w:rsidRPr="005014B8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5014B8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39BFE1" w14:textId="77777777" w:rsidR="0069092A" w:rsidRPr="005014B8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5014B8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682C8D2" w14:textId="77777777" w:rsidR="0069092A" w:rsidRPr="005014B8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5014B8">
              <w:rPr>
                <w:rFonts w:eastAsia="Calibri"/>
                <w:b/>
              </w:rPr>
              <w:t>Descrição</w:t>
            </w:r>
          </w:p>
        </w:tc>
      </w:tr>
      <w:tr w:rsidR="0069092A" w:rsidRPr="005014B8" w14:paraId="1EE2D0A6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0248EF" w14:textId="77777777" w:rsidR="0069092A" w:rsidRPr="005014B8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B4AC13" w14:textId="77777777" w:rsidR="0069092A" w:rsidRPr="005014B8" w:rsidRDefault="0069092A" w:rsidP="00221FFE">
            <w:pPr>
              <w:spacing w:after="0"/>
              <w:jc w:val="left"/>
              <w:rPr>
                <w:rFonts w:eastAsia="Calibri"/>
              </w:rPr>
            </w:pPr>
            <w:r w:rsidRPr="00166473">
              <w:rPr>
                <w:rFonts w:eastAsia="Calibri"/>
              </w:rPr>
              <w:t>Sensor de posição final (fechado)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3A3808" w14:textId="77777777" w:rsidR="0069092A" w:rsidRPr="005014B8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8470A9" w14:textId="77777777" w:rsidR="0069092A" w:rsidRPr="005014B8" w:rsidRDefault="0069092A" w:rsidP="00221FFE">
            <w:pPr>
              <w:spacing w:after="0"/>
              <w:jc w:val="left"/>
              <w:rPr>
                <w:rFonts w:eastAsia="Calibri"/>
              </w:rPr>
            </w:pPr>
            <w:r w:rsidRPr="00616D1E">
              <w:rPr>
                <w:rFonts w:eastAsia="Calibri" w:cs="Times New Roman"/>
              </w:rPr>
              <w:t>Conexão de ar de controle</w:t>
            </w:r>
          </w:p>
        </w:tc>
      </w:tr>
      <w:tr w:rsidR="0069092A" w:rsidRPr="005014B8" w14:paraId="15D03709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6B2E31" w14:textId="77777777" w:rsidR="0069092A" w:rsidRPr="005014B8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D80F59" w14:textId="77777777" w:rsidR="0069092A" w:rsidRPr="00616D1E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166473">
              <w:rPr>
                <w:rFonts w:eastAsia="Calibri"/>
              </w:rPr>
              <w:t>Acionamento de ajuste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D1CBC9" w14:textId="77777777" w:rsidR="0069092A" w:rsidRPr="005014B8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839AA3" w14:textId="77777777" w:rsidR="0069092A" w:rsidRPr="005014B8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166473">
              <w:rPr>
                <w:rFonts w:eastAsia="Calibri" w:cs="Times New Roman"/>
                <w:lang w:val="es-CL"/>
              </w:rPr>
              <w:t>Válvula de processo</w:t>
            </w:r>
          </w:p>
        </w:tc>
      </w:tr>
    </w:tbl>
    <w:p w14:paraId="6FDC033F" w14:textId="77777777" w:rsidR="0069092A" w:rsidRDefault="0069092A" w:rsidP="0069092A"/>
    <w:p w14:paraId="667583D1" w14:textId="77777777" w:rsidR="0069092A" w:rsidRDefault="0069092A" w:rsidP="0069092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54ED38C" w14:textId="77777777" w:rsidR="0069092A" w:rsidRPr="00FC1B13" w:rsidRDefault="0069092A" w:rsidP="0069092A">
      <w:pPr>
        <w:rPr>
          <w:b/>
          <w:bCs/>
        </w:rPr>
      </w:pPr>
      <w:r w:rsidRPr="00FC1B13">
        <w:rPr>
          <w:b/>
          <w:bCs/>
        </w:rPr>
        <w:t>Funcionamento</w:t>
      </w:r>
    </w:p>
    <w:p w14:paraId="7C168DE7" w14:textId="77777777" w:rsidR="0069092A" w:rsidRDefault="0069092A" w:rsidP="0069092A">
      <w:r>
        <w:t>O acionamento de ajuste da válvula de processo abre ou fecha a válvula de processo dependendo do sentido de atuação previsto que foi pré-determinado a ele. O sentido de atuação do acionamento está pré-determinado por uma força elástica. O sentido de atuação determina qual posição inicial ficará a válvula de processo na purga do acionamento de ajuste.</w:t>
      </w:r>
    </w:p>
    <w:p w14:paraId="084ED447" w14:textId="77777777" w:rsidR="0069092A" w:rsidRDefault="0069092A" w:rsidP="0069092A">
      <w:r>
        <w:t>Se a pressão do ar de controle abaixa, a válvula de processo retoma sua posição inicial. A posição inicial da válvula de processo pode ser aberta (NO = normaly open [normalmente aberta]) ou fechada (NC = normaly closed [normalmente fechada]).</w:t>
      </w:r>
    </w:p>
    <w:p w14:paraId="533256EC" w14:textId="77777777" w:rsidR="0069092A" w:rsidRDefault="0069092A" w:rsidP="0069092A">
      <w:r w:rsidRPr="00327B33">
        <w:t>Posição inicial das válvulas dependendo do sentido de atuação da força elástica</w:t>
      </w:r>
      <w:r>
        <w:t>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205"/>
        <w:gridCol w:w="1832"/>
        <w:gridCol w:w="2257"/>
        <w:gridCol w:w="2211"/>
      </w:tblGrid>
      <w:tr w:rsidR="0069092A" w:rsidRPr="00327B33" w14:paraId="04BBF750" w14:textId="77777777" w:rsidTr="00C85228">
        <w:trPr>
          <w:trHeight w:val="1071"/>
          <w:jc w:val="center"/>
        </w:trPr>
        <w:tc>
          <w:tcPr>
            <w:tcW w:w="2238" w:type="dxa"/>
            <w:shd w:val="clear" w:color="auto" w:fill="BFBFBF" w:themeFill="background1" w:themeFillShade="BF"/>
            <w:vAlign w:val="center"/>
          </w:tcPr>
          <w:p w14:paraId="4D3D7F3D" w14:textId="77777777" w:rsidR="0069092A" w:rsidRPr="00327B33" w:rsidRDefault="0069092A" w:rsidP="00C85228">
            <w:pPr>
              <w:spacing w:before="40" w:after="40"/>
              <w:ind w:left="57" w:right="57"/>
              <w:jc w:val="center"/>
              <w:rPr>
                <w:rFonts w:ascii="Helv" w:eastAsia="Times New Roman" w:hAnsi="Helv"/>
                <w:b/>
                <w:i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b/>
                <w:szCs w:val="20"/>
                <w:lang w:eastAsia="pt-BR"/>
              </w:rPr>
              <w:t>Posição inicial do acionamento de ajuste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B472964" w14:textId="77777777" w:rsidR="0069092A" w:rsidRPr="00327B33" w:rsidRDefault="0069092A" w:rsidP="00C85228">
            <w:pPr>
              <w:spacing w:before="40" w:after="40"/>
              <w:ind w:left="57" w:right="57"/>
              <w:jc w:val="center"/>
              <w:rPr>
                <w:rFonts w:ascii="Helv" w:eastAsia="Times New Roman" w:hAnsi="Helv"/>
                <w:b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b/>
                <w:szCs w:val="20"/>
                <w:lang w:eastAsia="pt-BR"/>
              </w:rPr>
              <w:t>Sinal de conexão I/O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40BC031" w14:textId="77777777" w:rsidR="0069092A" w:rsidRPr="00327B33" w:rsidRDefault="0069092A" w:rsidP="00C85228">
            <w:pPr>
              <w:spacing w:before="40" w:after="40"/>
              <w:ind w:left="57" w:right="57"/>
              <w:jc w:val="center"/>
              <w:rPr>
                <w:rFonts w:ascii="Helv" w:eastAsia="Times New Roman" w:hAnsi="Helv"/>
                <w:b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b/>
                <w:szCs w:val="20"/>
                <w:lang w:eastAsia="pt-BR"/>
              </w:rPr>
              <w:t>Válvula piloto de 2/3 vias NC na ilha de válvulas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1D8C9A1" w14:textId="77777777" w:rsidR="0069092A" w:rsidRPr="00327B33" w:rsidRDefault="0069092A" w:rsidP="00C85228">
            <w:pPr>
              <w:spacing w:before="40" w:after="40"/>
              <w:ind w:left="57" w:right="57"/>
              <w:jc w:val="center"/>
              <w:rPr>
                <w:rFonts w:ascii="Helv" w:eastAsia="Times New Roman" w:hAnsi="Helv"/>
                <w:b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b/>
                <w:szCs w:val="20"/>
                <w:lang w:eastAsia="pt-BR"/>
              </w:rPr>
              <w:t>Posição da válvula de processo</w:t>
            </w:r>
          </w:p>
        </w:tc>
      </w:tr>
      <w:tr w:rsidR="0069092A" w:rsidRPr="00327B33" w14:paraId="6B430EC7" w14:textId="77777777" w:rsidTr="00C85228">
        <w:trPr>
          <w:jc w:val="center"/>
        </w:trPr>
        <w:tc>
          <w:tcPr>
            <w:tcW w:w="2238" w:type="dxa"/>
            <w:shd w:val="clear" w:color="auto" w:fill="F2F2F2"/>
          </w:tcPr>
          <w:p w14:paraId="3A0B7907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NC</w:t>
            </w:r>
          </w:p>
        </w:tc>
        <w:tc>
          <w:tcPr>
            <w:tcW w:w="1843" w:type="dxa"/>
            <w:shd w:val="clear" w:color="auto" w:fill="F2F2F2"/>
          </w:tcPr>
          <w:p w14:paraId="652EC786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Ativado eletricamente</w:t>
            </w:r>
          </w:p>
        </w:tc>
        <w:tc>
          <w:tcPr>
            <w:tcW w:w="2268" w:type="dxa"/>
            <w:shd w:val="clear" w:color="auto" w:fill="F2F2F2"/>
          </w:tcPr>
          <w:p w14:paraId="4EA9528B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Ventilado pneumaticamente</w:t>
            </w:r>
          </w:p>
        </w:tc>
        <w:tc>
          <w:tcPr>
            <w:tcW w:w="2268" w:type="dxa"/>
            <w:shd w:val="clear" w:color="auto" w:fill="F2F2F2"/>
          </w:tcPr>
          <w:p w14:paraId="50D089CB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Aberto</w:t>
            </w:r>
          </w:p>
        </w:tc>
      </w:tr>
      <w:tr w:rsidR="0069092A" w:rsidRPr="00327B33" w14:paraId="0B23ECC8" w14:textId="77777777" w:rsidTr="00C85228">
        <w:trPr>
          <w:jc w:val="center"/>
        </w:trPr>
        <w:tc>
          <w:tcPr>
            <w:tcW w:w="2238" w:type="dxa"/>
            <w:shd w:val="clear" w:color="auto" w:fill="F2F2F2"/>
          </w:tcPr>
          <w:p w14:paraId="069AE6ED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NC</w:t>
            </w:r>
          </w:p>
        </w:tc>
        <w:tc>
          <w:tcPr>
            <w:tcW w:w="1843" w:type="dxa"/>
            <w:shd w:val="clear" w:color="auto" w:fill="F2F2F2"/>
          </w:tcPr>
          <w:p w14:paraId="7F99C4AC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Desativado eletricamente</w:t>
            </w:r>
          </w:p>
        </w:tc>
        <w:tc>
          <w:tcPr>
            <w:tcW w:w="2268" w:type="dxa"/>
            <w:shd w:val="clear" w:color="auto" w:fill="F2F2F2"/>
          </w:tcPr>
          <w:p w14:paraId="491AEBA0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Purgado pneumaticamente</w:t>
            </w:r>
          </w:p>
        </w:tc>
        <w:tc>
          <w:tcPr>
            <w:tcW w:w="2268" w:type="dxa"/>
            <w:shd w:val="clear" w:color="auto" w:fill="F2F2F2"/>
          </w:tcPr>
          <w:p w14:paraId="28CE3DC1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lang w:eastAsia="pt-BR"/>
              </w:rPr>
              <w:t>Fechado</w:t>
            </w:r>
          </w:p>
        </w:tc>
      </w:tr>
      <w:tr w:rsidR="0069092A" w:rsidRPr="00327B33" w14:paraId="3B5DC89C" w14:textId="77777777" w:rsidTr="00C85228">
        <w:trPr>
          <w:jc w:val="center"/>
        </w:trPr>
        <w:tc>
          <w:tcPr>
            <w:tcW w:w="2238" w:type="dxa"/>
            <w:shd w:val="clear" w:color="auto" w:fill="F2F2F2"/>
          </w:tcPr>
          <w:p w14:paraId="7C3F7C0F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NO</w:t>
            </w:r>
          </w:p>
        </w:tc>
        <w:tc>
          <w:tcPr>
            <w:tcW w:w="1843" w:type="dxa"/>
            <w:shd w:val="clear" w:color="auto" w:fill="F2F2F2"/>
          </w:tcPr>
          <w:p w14:paraId="2A874FA0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Ativado eletricamente</w:t>
            </w:r>
          </w:p>
        </w:tc>
        <w:tc>
          <w:tcPr>
            <w:tcW w:w="2268" w:type="dxa"/>
            <w:shd w:val="clear" w:color="auto" w:fill="F2F2F2"/>
          </w:tcPr>
          <w:p w14:paraId="2406707D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Ventilado pneumaticamente</w:t>
            </w:r>
          </w:p>
        </w:tc>
        <w:tc>
          <w:tcPr>
            <w:tcW w:w="2268" w:type="dxa"/>
            <w:shd w:val="clear" w:color="auto" w:fill="F2F2F2"/>
          </w:tcPr>
          <w:p w14:paraId="26162A34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lang w:eastAsia="pt-BR"/>
              </w:rPr>
              <w:t>Fechado</w:t>
            </w:r>
          </w:p>
        </w:tc>
      </w:tr>
      <w:tr w:rsidR="0069092A" w:rsidRPr="00327B33" w14:paraId="6640D3BC" w14:textId="77777777" w:rsidTr="00C85228">
        <w:trPr>
          <w:jc w:val="center"/>
        </w:trPr>
        <w:tc>
          <w:tcPr>
            <w:tcW w:w="2238" w:type="dxa"/>
            <w:shd w:val="clear" w:color="auto" w:fill="F2F2F2"/>
          </w:tcPr>
          <w:p w14:paraId="17E5D999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NO</w:t>
            </w:r>
          </w:p>
        </w:tc>
        <w:tc>
          <w:tcPr>
            <w:tcW w:w="1843" w:type="dxa"/>
            <w:shd w:val="clear" w:color="auto" w:fill="F2F2F2"/>
          </w:tcPr>
          <w:p w14:paraId="67D97CA6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Desativado eletricamente</w:t>
            </w:r>
          </w:p>
        </w:tc>
        <w:tc>
          <w:tcPr>
            <w:tcW w:w="2268" w:type="dxa"/>
            <w:shd w:val="clear" w:color="auto" w:fill="F2F2F2"/>
          </w:tcPr>
          <w:p w14:paraId="1D8FE3BE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Purgado pneumaticamente</w:t>
            </w:r>
          </w:p>
        </w:tc>
        <w:tc>
          <w:tcPr>
            <w:tcW w:w="2268" w:type="dxa"/>
            <w:shd w:val="clear" w:color="auto" w:fill="F2F2F2"/>
          </w:tcPr>
          <w:p w14:paraId="3420B808" w14:textId="77777777" w:rsidR="0069092A" w:rsidRPr="00327B33" w:rsidRDefault="0069092A" w:rsidP="00C85228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Aberto</w:t>
            </w:r>
          </w:p>
        </w:tc>
      </w:tr>
      <w:bookmarkEnd w:id="2"/>
    </w:tbl>
    <w:p w14:paraId="6007C26A" w14:textId="77777777" w:rsidR="0069092A" w:rsidRDefault="0069092A" w:rsidP="0069092A"/>
    <w:p w14:paraId="24BA44A9" w14:textId="77777777" w:rsidR="0069092A" w:rsidRDefault="0069092A" w:rsidP="0069092A">
      <w:pPr>
        <w:spacing w:line="259" w:lineRule="auto"/>
        <w:jc w:val="left"/>
      </w:pPr>
      <w:r>
        <w:br w:type="page"/>
      </w:r>
    </w:p>
    <w:p w14:paraId="18E8CD4E" w14:textId="77777777" w:rsidR="0069092A" w:rsidRDefault="0069092A" w:rsidP="0069092A">
      <w:pPr>
        <w:pStyle w:val="Ttulo3"/>
      </w:pPr>
      <w:bookmarkStart w:id="10" w:name="_Toc56067984"/>
      <w:bookmarkStart w:id="11" w:name="_Hlk59012116"/>
      <w:r>
        <w:t>Potenciais de ar</w:t>
      </w:r>
      <w:bookmarkEnd w:id="10"/>
    </w:p>
    <w:p w14:paraId="3618EEDF" w14:textId="77777777" w:rsidR="0069092A" w:rsidRDefault="0069092A" w:rsidP="0069092A">
      <w:r w:rsidRPr="00327B33">
        <w:t>Todos os dispositivos pneumáticos e as válvulas de processo são abastecidos com ar de controle através do grupo de manutenção no manifold de válvulas. O ar de controle está subdividido em três vias de ar (potenciais de ar) de acordo com os requisitos de segurança. Os potenciais de ar individuais estão identificados mediante mangueiras de diferentes cores.</w:t>
      </w:r>
    </w:p>
    <w:p w14:paraId="7590AA10" w14:textId="77777777" w:rsidR="0069092A" w:rsidRDefault="0069092A" w:rsidP="0069092A">
      <w:pPr>
        <w:keepNext/>
        <w:jc w:val="center"/>
      </w:pPr>
      <w:r>
        <w:rPr>
          <w:noProof/>
        </w:rPr>
        <w:drawing>
          <wp:inline distT="0" distB="0" distL="0" distR="0" wp14:anchorId="2D87A3FA" wp14:editId="47AA7467">
            <wp:extent cx="3961765" cy="3104515"/>
            <wp:effectExtent l="0" t="0" r="635" b="635"/>
            <wp:docPr id="949344" name="Imagem 949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65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92BD6" w14:textId="77777777" w:rsidR="0069092A" w:rsidRDefault="0069092A" w:rsidP="0069092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707D6">
        <w:fldChar w:fldCharType="begin"/>
      </w:r>
      <w:r w:rsidR="003707D6">
        <w:instrText xml:space="preserve"> SEQ Figura \* ARABIC \s 1 </w:instrText>
      </w:r>
      <w:r w:rsidR="003707D6">
        <w:fldChar w:fldCharType="separate"/>
      </w:r>
      <w:r>
        <w:rPr>
          <w:noProof/>
        </w:rPr>
        <w:t>1</w:t>
      </w:r>
      <w:r w:rsidR="003707D6">
        <w:rPr>
          <w:noProof/>
        </w:rPr>
        <w:fldChar w:fldCharType="end"/>
      </w:r>
      <w:r w:rsidRPr="003D7A65">
        <w:t>: Grupo de manutenção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66"/>
        <w:gridCol w:w="3315"/>
        <w:gridCol w:w="766"/>
        <w:gridCol w:w="3628"/>
      </w:tblGrid>
      <w:tr w:rsidR="0069092A" w:rsidRPr="00B876B6" w14:paraId="6521F3AC" w14:textId="77777777" w:rsidTr="00C85228">
        <w:trPr>
          <w:trHeight w:val="510"/>
          <w:jc w:val="center"/>
        </w:trPr>
        <w:tc>
          <w:tcPr>
            <w:tcW w:w="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B738CAE" w14:textId="77777777" w:rsidR="0069092A" w:rsidRPr="00B876B6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2" w:name="_Hlk56006132"/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31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AE8C42F" w14:textId="77777777" w:rsidR="0069092A" w:rsidRPr="00B876B6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  <w:tc>
          <w:tcPr>
            <w:tcW w:w="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BAF1CE" w14:textId="77777777" w:rsidR="0069092A" w:rsidRPr="00B876B6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DB1E31" w14:textId="77777777" w:rsidR="0069092A" w:rsidRPr="00B876B6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</w:tr>
      <w:tr w:rsidR="0069092A" w:rsidRPr="00B876B6" w14:paraId="7D02D4D0" w14:textId="77777777" w:rsidTr="00C85228">
        <w:trPr>
          <w:trHeight w:val="743"/>
          <w:jc w:val="center"/>
        </w:trPr>
        <w:tc>
          <w:tcPr>
            <w:tcW w:w="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28DFE53" w14:textId="77777777" w:rsidR="0069092A" w:rsidRPr="00B876B6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1</w:t>
            </w:r>
          </w:p>
        </w:tc>
        <w:tc>
          <w:tcPr>
            <w:tcW w:w="331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C62A51E" w14:textId="77777777" w:rsidR="0069092A" w:rsidRPr="00B876B6" w:rsidRDefault="0069092A" w:rsidP="00C85228">
            <w:pPr>
              <w:spacing w:after="0"/>
              <w:jc w:val="left"/>
              <w:rPr>
                <w:rFonts w:eastAsia="Calibri"/>
              </w:rPr>
            </w:pPr>
            <w:r w:rsidRPr="00A324B5">
              <w:rPr>
                <w:rFonts w:eastAsia="Calibri"/>
              </w:rPr>
              <w:t>Válvula de purga de segurança (=05-260B1)</w:t>
            </w:r>
          </w:p>
        </w:tc>
        <w:tc>
          <w:tcPr>
            <w:tcW w:w="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F657079" w14:textId="77777777" w:rsidR="0069092A" w:rsidRPr="00B876B6" w:rsidRDefault="0069092A" w:rsidP="00C85228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2</w:t>
            </w:r>
          </w:p>
        </w:tc>
        <w:tc>
          <w:tcPr>
            <w:tcW w:w="3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98C679" w14:textId="77777777" w:rsidR="0069092A" w:rsidRPr="00B876B6" w:rsidRDefault="0069092A" w:rsidP="00C85228">
            <w:pPr>
              <w:spacing w:after="0"/>
              <w:jc w:val="left"/>
              <w:rPr>
                <w:rFonts w:eastAsia="Calibri"/>
              </w:rPr>
            </w:pPr>
            <w:r w:rsidRPr="00A324B5">
              <w:rPr>
                <w:rFonts w:eastAsia="Calibri"/>
              </w:rPr>
              <w:t>Válvula de purga de segurança (=05-261B1)</w:t>
            </w:r>
          </w:p>
        </w:tc>
      </w:tr>
      <w:bookmarkEnd w:id="12"/>
    </w:tbl>
    <w:p w14:paraId="70AB2CFD" w14:textId="77777777" w:rsidR="0069092A" w:rsidRDefault="0069092A" w:rsidP="0069092A"/>
    <w:p w14:paraId="71E9E8CF" w14:textId="77777777" w:rsidR="0069092A" w:rsidRDefault="0069092A" w:rsidP="0069092A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104"/>
        <w:gridCol w:w="1422"/>
        <w:gridCol w:w="4979"/>
      </w:tblGrid>
      <w:tr w:rsidR="0069092A" w:rsidRPr="00A324B5" w14:paraId="262FDAC1" w14:textId="77777777" w:rsidTr="00C85228">
        <w:trPr>
          <w:jc w:val="center"/>
        </w:trPr>
        <w:tc>
          <w:tcPr>
            <w:tcW w:w="2097" w:type="dxa"/>
            <w:shd w:val="clear" w:color="auto" w:fill="BFBFBF" w:themeFill="background1" w:themeFillShade="BF"/>
          </w:tcPr>
          <w:p w14:paraId="359533A1" w14:textId="77777777" w:rsidR="0069092A" w:rsidRPr="00EA4C32" w:rsidRDefault="0069092A" w:rsidP="00221FFE">
            <w:pPr>
              <w:pStyle w:val="TableParagraph"/>
              <w:jc w:val="center"/>
              <w:rPr>
                <w:b/>
                <w:bCs/>
                <w:i/>
              </w:rPr>
            </w:pPr>
            <w:r w:rsidRPr="00EA4C32">
              <w:rPr>
                <w:b/>
                <w:bCs/>
              </w:rPr>
              <w:t>Tipo de ar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37EA66A7" w14:textId="77777777" w:rsidR="0069092A" w:rsidRPr="00EA4C32" w:rsidRDefault="0069092A" w:rsidP="00221FFE">
            <w:pPr>
              <w:pStyle w:val="TableParagraph"/>
              <w:jc w:val="center"/>
              <w:rPr>
                <w:b/>
                <w:bCs/>
              </w:rPr>
            </w:pPr>
            <w:r w:rsidRPr="00EA4C32">
              <w:rPr>
                <w:b/>
                <w:bCs/>
              </w:rPr>
              <w:t>Cor da mangueira</w:t>
            </w:r>
          </w:p>
        </w:tc>
        <w:tc>
          <w:tcPr>
            <w:tcW w:w="4961" w:type="dxa"/>
            <w:shd w:val="clear" w:color="auto" w:fill="BFBFBF" w:themeFill="background1" w:themeFillShade="BF"/>
          </w:tcPr>
          <w:p w14:paraId="3670F33A" w14:textId="77777777" w:rsidR="0069092A" w:rsidRPr="00EA4C32" w:rsidRDefault="0069092A" w:rsidP="00221FFE">
            <w:pPr>
              <w:pStyle w:val="TableParagraph"/>
              <w:jc w:val="center"/>
              <w:rPr>
                <w:b/>
                <w:bCs/>
              </w:rPr>
            </w:pPr>
            <w:r w:rsidRPr="00EA4C32">
              <w:rPr>
                <w:b/>
                <w:bCs/>
              </w:rPr>
              <w:t>Descrição</w:t>
            </w:r>
          </w:p>
        </w:tc>
      </w:tr>
      <w:tr w:rsidR="0069092A" w:rsidRPr="00A324B5" w14:paraId="0A493CAD" w14:textId="77777777" w:rsidTr="00C85228">
        <w:trPr>
          <w:jc w:val="center"/>
        </w:trPr>
        <w:tc>
          <w:tcPr>
            <w:tcW w:w="2097" w:type="dxa"/>
            <w:shd w:val="clear" w:color="auto" w:fill="F2F2F2"/>
          </w:tcPr>
          <w:p w14:paraId="14E7DA0F" w14:textId="77777777" w:rsidR="0069092A" w:rsidRPr="00A324B5" w:rsidRDefault="0069092A" w:rsidP="00221FFE">
            <w:pPr>
              <w:pStyle w:val="TableParagraph"/>
            </w:pPr>
            <w:r w:rsidRPr="00A324B5">
              <w:t>Potencial de ar 1</w:t>
            </w:r>
          </w:p>
          <w:p w14:paraId="1DA530EA" w14:textId="77777777" w:rsidR="0069092A" w:rsidRPr="00A324B5" w:rsidRDefault="0069092A" w:rsidP="00221FFE">
            <w:pPr>
              <w:pStyle w:val="TableParagraph"/>
            </w:pPr>
            <w:r w:rsidRPr="00A324B5">
              <w:t>(Pot. ar 1)</w:t>
            </w:r>
          </w:p>
        </w:tc>
        <w:tc>
          <w:tcPr>
            <w:tcW w:w="1417" w:type="dxa"/>
            <w:shd w:val="clear" w:color="auto" w:fill="F2F2F2"/>
          </w:tcPr>
          <w:p w14:paraId="65525513" w14:textId="77777777" w:rsidR="0069092A" w:rsidRPr="00A324B5" w:rsidRDefault="0069092A" w:rsidP="00221FFE">
            <w:pPr>
              <w:pStyle w:val="TableParagraph"/>
            </w:pPr>
            <w:r w:rsidRPr="00A324B5">
              <w:t>Preto</w:t>
            </w:r>
          </w:p>
        </w:tc>
        <w:tc>
          <w:tcPr>
            <w:tcW w:w="4961" w:type="dxa"/>
            <w:shd w:val="clear" w:color="auto" w:fill="F2F2F2"/>
          </w:tcPr>
          <w:p w14:paraId="2296B277" w14:textId="77777777" w:rsidR="0069092A" w:rsidRPr="00A324B5" w:rsidRDefault="0069092A" w:rsidP="00221FFE">
            <w:pPr>
              <w:pStyle w:val="TableParagraph"/>
            </w:pPr>
            <w:r w:rsidRPr="00A324B5">
              <w:t>O ar de controle está disponível de forma constante durante o funcionamento.</w:t>
            </w:r>
          </w:p>
        </w:tc>
      </w:tr>
      <w:tr w:rsidR="0069092A" w:rsidRPr="00A324B5" w14:paraId="2D839521" w14:textId="77777777" w:rsidTr="00C85228">
        <w:trPr>
          <w:jc w:val="center"/>
        </w:trPr>
        <w:tc>
          <w:tcPr>
            <w:tcW w:w="2097" w:type="dxa"/>
            <w:shd w:val="clear" w:color="auto" w:fill="F2F2F2"/>
          </w:tcPr>
          <w:p w14:paraId="36A96A3A" w14:textId="77777777" w:rsidR="0069092A" w:rsidRPr="00A324B5" w:rsidRDefault="0069092A" w:rsidP="00221FFE">
            <w:pPr>
              <w:pStyle w:val="TableParagraph"/>
            </w:pPr>
            <w:r w:rsidRPr="00A324B5">
              <w:t xml:space="preserve">Potencial de ar 3 </w:t>
            </w:r>
          </w:p>
          <w:p w14:paraId="1C5D0173" w14:textId="77777777" w:rsidR="0069092A" w:rsidRPr="00A324B5" w:rsidRDefault="0069092A" w:rsidP="00221FFE">
            <w:pPr>
              <w:pStyle w:val="TableParagraph"/>
            </w:pPr>
            <w:r w:rsidRPr="00A324B5">
              <w:t>(Pot. ar 3)</w:t>
            </w:r>
          </w:p>
        </w:tc>
        <w:tc>
          <w:tcPr>
            <w:tcW w:w="1417" w:type="dxa"/>
            <w:shd w:val="clear" w:color="auto" w:fill="F2F2F2"/>
          </w:tcPr>
          <w:p w14:paraId="370D4C1B" w14:textId="77777777" w:rsidR="0069092A" w:rsidRPr="00A324B5" w:rsidRDefault="0069092A" w:rsidP="00221FFE">
            <w:pPr>
              <w:pStyle w:val="TableParagraph"/>
            </w:pPr>
            <w:r w:rsidRPr="00A324B5">
              <w:t>Azul</w:t>
            </w:r>
          </w:p>
        </w:tc>
        <w:tc>
          <w:tcPr>
            <w:tcW w:w="4961" w:type="dxa"/>
            <w:shd w:val="clear" w:color="auto" w:fill="F2F2F2"/>
          </w:tcPr>
          <w:p w14:paraId="142D6B8C" w14:textId="77777777" w:rsidR="0069092A" w:rsidRPr="00A324B5" w:rsidRDefault="0069092A" w:rsidP="00221FFE">
            <w:pPr>
              <w:pStyle w:val="TableParagraph"/>
            </w:pPr>
            <w:r w:rsidRPr="00A324B5">
              <w:t>Corresponde à parada de emergência elétrica. Se é disparada uma parada de emergência, os dispositivos pneumáticos são purgados. Isto evita os perigos resultantes das funções pneumáticas.</w:t>
            </w:r>
          </w:p>
        </w:tc>
      </w:tr>
      <w:tr w:rsidR="0069092A" w:rsidRPr="00A324B5" w14:paraId="6BF023E4" w14:textId="77777777" w:rsidTr="00C85228">
        <w:trPr>
          <w:jc w:val="center"/>
        </w:trPr>
        <w:tc>
          <w:tcPr>
            <w:tcW w:w="2097" w:type="dxa"/>
            <w:shd w:val="clear" w:color="auto" w:fill="F2F2F2"/>
          </w:tcPr>
          <w:p w14:paraId="2BFCE077" w14:textId="77777777" w:rsidR="0069092A" w:rsidRPr="00A324B5" w:rsidRDefault="0069092A" w:rsidP="00221FFE">
            <w:pPr>
              <w:pStyle w:val="TableParagraph"/>
            </w:pPr>
            <w:r w:rsidRPr="00A324B5">
              <w:t>Potencial de ar 4</w:t>
            </w:r>
          </w:p>
          <w:p w14:paraId="1F3C0807" w14:textId="77777777" w:rsidR="0069092A" w:rsidRPr="00A324B5" w:rsidRDefault="0069092A" w:rsidP="00221FFE">
            <w:pPr>
              <w:pStyle w:val="TableParagraph"/>
            </w:pPr>
            <w:r w:rsidRPr="00A324B5">
              <w:t>(Pot. ar 4)</w:t>
            </w:r>
          </w:p>
        </w:tc>
        <w:tc>
          <w:tcPr>
            <w:tcW w:w="1417" w:type="dxa"/>
            <w:shd w:val="clear" w:color="auto" w:fill="F2F2F2"/>
          </w:tcPr>
          <w:p w14:paraId="5D0CC35E" w14:textId="77777777" w:rsidR="0069092A" w:rsidRPr="00A324B5" w:rsidRDefault="0069092A" w:rsidP="00221FFE">
            <w:pPr>
              <w:pStyle w:val="TableParagraph"/>
            </w:pPr>
            <w:r w:rsidRPr="00A324B5">
              <w:t>Vermelho</w:t>
            </w:r>
          </w:p>
        </w:tc>
        <w:tc>
          <w:tcPr>
            <w:tcW w:w="4961" w:type="dxa"/>
            <w:shd w:val="clear" w:color="auto" w:fill="F2F2F2"/>
          </w:tcPr>
          <w:p w14:paraId="4DAFCA49" w14:textId="77777777" w:rsidR="0069092A" w:rsidRPr="00A324B5" w:rsidRDefault="0069092A" w:rsidP="00221FFE">
            <w:pPr>
              <w:pStyle w:val="TableParagraph"/>
            </w:pPr>
            <w:r w:rsidRPr="00A324B5">
              <w:t>São purgados os dispositivos pneumáticos que representam um perigo ao acessar o revestimento da máquina. Isto evita os perigos resultantes das funções pneumáticas. Adicionalmente, a máquina adquire o mesmo estado que adota durante uma parada de emergência.</w:t>
            </w:r>
          </w:p>
        </w:tc>
      </w:tr>
    </w:tbl>
    <w:p w14:paraId="769DC5B4" w14:textId="77777777" w:rsidR="0069092A" w:rsidRDefault="0069092A" w:rsidP="0069092A"/>
    <w:p w14:paraId="1DB68F8A" w14:textId="77777777" w:rsidR="0069092A" w:rsidRDefault="0069092A" w:rsidP="0069092A">
      <w:r>
        <w:t>Para os potenciais de ar há uma correspondência no controle elétrico.</w:t>
      </w:r>
    </w:p>
    <w:p w14:paraId="7FAD726D" w14:textId="77777777" w:rsidR="0069092A" w:rsidRDefault="0069092A" w:rsidP="0069092A">
      <w:r>
        <w:t>O controle do processo controla as válvulas de processo. Em uma falha de processo que requer uma parada de emergência, o controle de segurança fecha as válvulas de processo. As válvulas de processo são fechadas através da purga.</w:t>
      </w:r>
    </w:p>
    <w:p w14:paraId="3C0BC2DF" w14:textId="77777777" w:rsidR="0069092A" w:rsidRPr="00E8797D" w:rsidRDefault="0069092A" w:rsidP="0069092A">
      <w:pPr>
        <w:pStyle w:val="PargrafodaLista"/>
        <w:numPr>
          <w:ilvl w:val="0"/>
          <w:numId w:val="14"/>
        </w:numPr>
        <w:spacing w:before="60" w:after="60" w:line="360" w:lineRule="auto"/>
        <w:jc w:val="both"/>
      </w:pPr>
      <w:r w:rsidRPr="00E8797D">
        <w:rPr>
          <w:rFonts w:eastAsia="MS Mincho"/>
          <w:color w:val="000000"/>
        </w:rPr>
        <w:t>As válvulas de purga de segurança (=05-260B1 y =05-261B1) purgam as válvulas de processo.</w:t>
      </w:r>
    </w:p>
    <w:p w14:paraId="2A3FC7D8" w14:textId="77777777" w:rsidR="0069092A" w:rsidRPr="00E8797D" w:rsidRDefault="0069092A" w:rsidP="0069092A">
      <w:pPr>
        <w:pStyle w:val="PargrafodaLista"/>
        <w:numPr>
          <w:ilvl w:val="0"/>
          <w:numId w:val="14"/>
        </w:numPr>
        <w:spacing w:before="60" w:after="60" w:line="360" w:lineRule="auto"/>
        <w:jc w:val="both"/>
      </w:pPr>
      <w:r w:rsidRPr="00E8797D">
        <w:rPr>
          <w:rFonts w:eastAsia="MS Mincho"/>
          <w:color w:val="000000"/>
        </w:rPr>
        <w:t>As válvulas de processo são fechadas por força elástica (NC).</w:t>
      </w:r>
    </w:p>
    <w:p w14:paraId="6BE27358" w14:textId="77777777" w:rsidR="0069092A" w:rsidRDefault="0069092A" w:rsidP="0069092A">
      <w:pPr>
        <w:spacing w:line="259" w:lineRule="auto"/>
        <w:jc w:val="left"/>
        <w:rPr>
          <w:rFonts w:eastAsia="MS Mincho"/>
          <w:color w:val="000000"/>
        </w:rPr>
      </w:pPr>
      <w:r>
        <w:rPr>
          <w:rFonts w:eastAsia="MS Mincho"/>
          <w:color w:val="000000"/>
        </w:rPr>
        <w:br w:type="page"/>
      </w:r>
    </w:p>
    <w:p w14:paraId="696FFAEA" w14:textId="77777777" w:rsidR="0069092A" w:rsidRDefault="0069092A" w:rsidP="0069092A">
      <w:pPr>
        <w:keepNext/>
        <w:spacing w:after="120"/>
        <w:jc w:val="center"/>
      </w:pPr>
      <w:r>
        <w:rPr>
          <w:rFonts w:eastAsia="MS Mincho"/>
          <w:noProof/>
          <w:color w:val="000000"/>
        </w:rPr>
        <w:drawing>
          <wp:inline distT="0" distB="0" distL="0" distR="0" wp14:anchorId="7140714D" wp14:editId="504787AA">
            <wp:extent cx="3971290" cy="4057015"/>
            <wp:effectExtent l="0" t="0" r="0" b="0"/>
            <wp:docPr id="949345" name="Imagem 949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405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F9DE45" w14:textId="77777777" w:rsidR="0069092A" w:rsidRDefault="0069092A" w:rsidP="0069092A">
      <w:pPr>
        <w:pStyle w:val="Legenda"/>
        <w:rPr>
          <w:i w:val="0"/>
          <w:noProof/>
        </w:rPr>
      </w:pPr>
      <w:bookmarkStart w:id="13" w:name="_Toc56071262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707D6">
        <w:fldChar w:fldCharType="begin"/>
      </w:r>
      <w:r w:rsidR="003707D6">
        <w:instrText xml:space="preserve"> SEQ Figura \* ARABIC \s 1 </w:instrText>
      </w:r>
      <w:r w:rsidR="003707D6">
        <w:fldChar w:fldCharType="separate"/>
      </w:r>
      <w:r>
        <w:rPr>
          <w:noProof/>
        </w:rPr>
        <w:t>2</w:t>
      </w:r>
      <w:r w:rsidR="003707D6">
        <w:rPr>
          <w:noProof/>
        </w:rPr>
        <w:fldChar w:fldCharType="end"/>
      </w:r>
      <w:r>
        <w:t xml:space="preserve">: </w:t>
      </w:r>
      <w:r w:rsidRPr="00EA3529">
        <w:t>Gráfico de processo do potencial de ar 3</w:t>
      </w:r>
      <w:bookmarkEnd w:id="1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800"/>
        <w:gridCol w:w="3451"/>
        <w:gridCol w:w="803"/>
        <w:gridCol w:w="3450"/>
      </w:tblGrid>
      <w:tr w:rsidR="0069092A" w:rsidRPr="004E1AA0" w14:paraId="3CE5B62C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7D0A8D4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4" w:name="_Hlk56005876"/>
            <w:r w:rsidRPr="004E1AA0">
              <w:rPr>
                <w:rFonts w:eastAsia="Calibri"/>
                <w:b/>
              </w:rPr>
              <w:t>Nº</w:t>
            </w:r>
          </w:p>
        </w:tc>
        <w:tc>
          <w:tcPr>
            <w:tcW w:w="34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E9837D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Descrição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B662E46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Nº</w:t>
            </w:r>
          </w:p>
        </w:tc>
        <w:tc>
          <w:tcPr>
            <w:tcW w:w="345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A0A016F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Descrição</w:t>
            </w:r>
          </w:p>
        </w:tc>
      </w:tr>
      <w:tr w:rsidR="0069092A" w:rsidRPr="004E1AA0" w14:paraId="3BA0CB95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A8E53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EC4D6E">
              <w:rPr>
                <w:rFonts w:eastAsia="Calibri"/>
              </w:rPr>
              <w:t>SPS</w:t>
            </w:r>
          </w:p>
        </w:tc>
        <w:tc>
          <w:tcPr>
            <w:tcW w:w="34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82E5EA" w14:textId="77777777" w:rsidR="0069092A" w:rsidRPr="004E1AA0" w:rsidRDefault="0069092A" w:rsidP="00221FFE">
            <w:pPr>
              <w:spacing w:after="0"/>
              <w:jc w:val="left"/>
              <w:rPr>
                <w:rFonts w:eastAsia="Calibri"/>
              </w:rPr>
            </w:pPr>
            <w:r w:rsidRPr="00EC4D6E">
              <w:rPr>
                <w:rFonts w:eastAsia="Calibri"/>
              </w:rPr>
              <w:t>Controle lógico programável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BAFABB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EC4D6E">
              <w:rPr>
                <w:rFonts w:eastAsia="Calibri"/>
              </w:rPr>
              <w:t>SSPS</w:t>
            </w:r>
          </w:p>
        </w:tc>
        <w:tc>
          <w:tcPr>
            <w:tcW w:w="345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319EAA" w14:textId="77777777" w:rsidR="0069092A" w:rsidRPr="004E1AA0" w:rsidRDefault="0069092A" w:rsidP="00221FFE">
            <w:pPr>
              <w:spacing w:after="0"/>
              <w:jc w:val="left"/>
              <w:rPr>
                <w:rFonts w:eastAsia="Calibri"/>
              </w:rPr>
            </w:pPr>
            <w:r w:rsidRPr="00EC4D6E">
              <w:rPr>
                <w:rFonts w:eastAsia="Calibri" w:cs="Times New Roman"/>
                <w:lang w:val="es-CL"/>
              </w:rPr>
              <w:t>PLC de segurança</w:t>
            </w:r>
          </w:p>
        </w:tc>
      </w:tr>
      <w:tr w:rsidR="0069092A" w:rsidRPr="004E1AA0" w14:paraId="7850DD31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AED538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4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680C3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EC4D6E">
              <w:rPr>
                <w:rFonts w:eastAsia="Calibri" w:cs="Times New Roman"/>
              </w:rPr>
              <w:t>Mestre de conexão IO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F69440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45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A24C2C" w14:textId="77777777" w:rsidR="0069092A" w:rsidRPr="00616D1E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EC4D6E">
              <w:rPr>
                <w:rFonts w:eastAsia="Calibri" w:cs="Times New Roman"/>
              </w:rPr>
              <w:t>Módulo de entrada de conexão I/O</w:t>
            </w:r>
          </w:p>
        </w:tc>
      </w:tr>
      <w:tr w:rsidR="0069092A" w:rsidRPr="004E1AA0" w14:paraId="37036758" w14:textId="77777777" w:rsidTr="00C85228">
        <w:trPr>
          <w:trHeight w:val="72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429D42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4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97BB95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EC4D6E">
              <w:rPr>
                <w:rFonts w:eastAsia="Calibri" w:cs="Times New Roman"/>
              </w:rPr>
              <w:t>Sensor de posição final "FECHADO"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03E4FE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45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74E860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EC4D6E">
              <w:rPr>
                <w:rFonts w:eastAsia="Calibri" w:cs="Times New Roman"/>
              </w:rPr>
              <w:t>Válvula de processo NC</w:t>
            </w:r>
          </w:p>
        </w:tc>
      </w:tr>
      <w:tr w:rsidR="0069092A" w:rsidRPr="004E1AA0" w14:paraId="2FDFC319" w14:textId="77777777" w:rsidTr="00C85228">
        <w:trPr>
          <w:trHeight w:val="639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A064DA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4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49B66B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EC4D6E">
              <w:rPr>
                <w:rFonts w:eastAsia="Calibri"/>
              </w:rPr>
              <w:t>Ilha de válvulas de 2/3 vias NC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E7FBB1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45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AF8074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616D1E">
              <w:rPr>
                <w:rFonts w:eastAsia="Calibri" w:cs="Times New Roman"/>
              </w:rPr>
              <w:t>Válvulas de purga de segurança no grupo de manutenção</w:t>
            </w:r>
          </w:p>
        </w:tc>
      </w:tr>
      <w:tr w:rsidR="0069092A" w:rsidRPr="004E1AA0" w14:paraId="5B1624A3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4C7192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</w:t>
            </w:r>
          </w:p>
        </w:tc>
        <w:tc>
          <w:tcPr>
            <w:tcW w:w="34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ADBF90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EC4D6E">
              <w:rPr>
                <w:rFonts w:eastAsia="Calibri" w:cs="Times New Roman"/>
                <w:lang w:val="es-CL"/>
              </w:rPr>
              <w:t>Troca de sinais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9AC2C3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b</w:t>
            </w:r>
          </w:p>
        </w:tc>
        <w:tc>
          <w:tcPr>
            <w:tcW w:w="345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2EAFAC" w14:textId="77777777" w:rsidR="0069092A" w:rsidRPr="00616D1E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EC4D6E">
              <w:rPr>
                <w:rFonts w:eastAsia="Calibri" w:cs="Times New Roman"/>
                <w:lang w:val="es-CL"/>
              </w:rPr>
              <w:t>Barramento Profi-Net</w:t>
            </w:r>
          </w:p>
        </w:tc>
      </w:tr>
      <w:tr w:rsidR="0069092A" w:rsidRPr="004E1AA0" w14:paraId="73FF9D12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88622B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c</w:t>
            </w:r>
          </w:p>
        </w:tc>
        <w:tc>
          <w:tcPr>
            <w:tcW w:w="34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2B0D79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16D1E">
              <w:rPr>
                <w:rFonts w:eastAsia="Calibri" w:cs="Times New Roman"/>
              </w:rPr>
              <w:t>Barramento de conexão I/O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B0AC8E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d</w:t>
            </w:r>
          </w:p>
        </w:tc>
        <w:tc>
          <w:tcPr>
            <w:tcW w:w="345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D89602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EC4D6E">
              <w:rPr>
                <w:rFonts w:eastAsia="Calibri" w:cs="Times New Roman"/>
                <w:lang w:val="es-CL"/>
              </w:rPr>
              <w:t>Ar de controle</w:t>
            </w:r>
          </w:p>
        </w:tc>
      </w:tr>
      <w:bookmarkEnd w:id="14"/>
    </w:tbl>
    <w:p w14:paraId="3039AD48" w14:textId="77777777" w:rsidR="0069092A" w:rsidRDefault="0069092A" w:rsidP="0069092A"/>
    <w:p w14:paraId="2FB972CE" w14:textId="77777777" w:rsidR="0069092A" w:rsidRDefault="0069092A" w:rsidP="0069092A">
      <w:pPr>
        <w:spacing w:line="259" w:lineRule="auto"/>
        <w:jc w:val="left"/>
      </w:pPr>
      <w:r>
        <w:br w:type="page"/>
      </w:r>
    </w:p>
    <w:p w14:paraId="787625E5" w14:textId="77777777" w:rsidR="0069092A" w:rsidRDefault="0069092A" w:rsidP="0069092A">
      <w:r>
        <w:t>O controlador lógico programável (PLC) controla as válvulas de processo mediante um programa de automatismo e envia um sinal de barramento a cada mestre de conexão I/O. Os mestres de conexão I/O distribuem o sinal em várias ilhas de válvulas.</w:t>
      </w:r>
    </w:p>
    <w:p w14:paraId="6798B2F5" w14:textId="77777777" w:rsidR="0069092A" w:rsidRDefault="0069092A" w:rsidP="0069092A">
      <w:r>
        <w:t>Comportamento em caso de pot. ar 4 (abertura do revestimento da máquina):</w:t>
      </w:r>
    </w:p>
    <w:p w14:paraId="68164914" w14:textId="77777777" w:rsidR="0069092A" w:rsidRDefault="0069092A" w:rsidP="0069092A">
      <w:pPr>
        <w:pStyle w:val="PargrafodaLista"/>
        <w:numPr>
          <w:ilvl w:val="0"/>
          <w:numId w:val="14"/>
        </w:numPr>
        <w:spacing w:before="60" w:after="60" w:line="360" w:lineRule="auto"/>
        <w:jc w:val="both"/>
      </w:pPr>
      <w:r w:rsidRPr="004C2402">
        <w:t>A válvula de purga de segurança (=05-261B1) purga as válvulas de processo relevantes para a segurança.</w:t>
      </w:r>
    </w:p>
    <w:p w14:paraId="39FE6992" w14:textId="77777777" w:rsidR="0069092A" w:rsidRDefault="0069092A" w:rsidP="0069092A">
      <w:pPr>
        <w:pStyle w:val="PargrafodaLista"/>
        <w:numPr>
          <w:ilvl w:val="0"/>
          <w:numId w:val="14"/>
        </w:numPr>
        <w:spacing w:before="60" w:after="60" w:line="360" w:lineRule="auto"/>
        <w:jc w:val="both"/>
      </w:pPr>
      <w:r w:rsidRPr="004C2402">
        <w:t>As válvulas de processo relevantes para a segurança são fechadas por força elástica (NC).</w:t>
      </w:r>
    </w:p>
    <w:p w14:paraId="7024CFB1" w14:textId="77777777" w:rsidR="0069092A" w:rsidRDefault="0069092A" w:rsidP="0069092A">
      <w:pPr>
        <w:pStyle w:val="PargrafodaLista"/>
        <w:numPr>
          <w:ilvl w:val="0"/>
          <w:numId w:val="14"/>
        </w:numPr>
        <w:spacing w:before="60" w:after="60" w:line="360" w:lineRule="auto"/>
        <w:jc w:val="both"/>
      </w:pPr>
      <w:r w:rsidRPr="004C2402">
        <w:t>O sistema de barramento de conexão I/O fica ativo e não se apaga.</w:t>
      </w:r>
    </w:p>
    <w:p w14:paraId="4F40A858" w14:textId="77777777" w:rsidR="0069092A" w:rsidRDefault="0069092A" w:rsidP="0069092A">
      <w:pPr>
        <w:spacing w:line="259" w:lineRule="auto"/>
        <w:jc w:val="left"/>
      </w:pPr>
      <w:r>
        <w:br w:type="page"/>
      </w:r>
    </w:p>
    <w:p w14:paraId="7E87194C" w14:textId="77777777" w:rsidR="0069092A" w:rsidRDefault="0069092A" w:rsidP="0069092A">
      <w:r>
        <w:rPr>
          <w:noProof/>
        </w:rPr>
        <w:drawing>
          <wp:inline distT="0" distB="0" distL="0" distR="0" wp14:anchorId="632C65CA" wp14:editId="3949D8D7">
            <wp:extent cx="4333240" cy="4361815"/>
            <wp:effectExtent l="0" t="0" r="0" b="635"/>
            <wp:docPr id="949346" name="Imagem 949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436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800"/>
        <w:gridCol w:w="3449"/>
        <w:gridCol w:w="803"/>
        <w:gridCol w:w="3452"/>
      </w:tblGrid>
      <w:tr w:rsidR="0069092A" w:rsidRPr="004E1AA0" w14:paraId="29B838B2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FE276F1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Nº</w:t>
            </w:r>
          </w:p>
        </w:tc>
        <w:tc>
          <w:tcPr>
            <w:tcW w:w="34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DF9B89E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Descrição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2C60AA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Nº</w:t>
            </w:r>
          </w:p>
        </w:tc>
        <w:tc>
          <w:tcPr>
            <w:tcW w:w="34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851660" w14:textId="77777777" w:rsidR="0069092A" w:rsidRPr="004E1AA0" w:rsidRDefault="0069092A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Descrição</w:t>
            </w:r>
          </w:p>
        </w:tc>
      </w:tr>
      <w:tr w:rsidR="0069092A" w:rsidRPr="004E1AA0" w14:paraId="7D432CCB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63C208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EC4D6E">
              <w:rPr>
                <w:rFonts w:eastAsia="Calibri"/>
              </w:rPr>
              <w:t>SPS</w:t>
            </w:r>
          </w:p>
        </w:tc>
        <w:tc>
          <w:tcPr>
            <w:tcW w:w="34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177DAD" w14:textId="77777777" w:rsidR="0069092A" w:rsidRPr="004E1AA0" w:rsidRDefault="0069092A" w:rsidP="00221FFE">
            <w:pPr>
              <w:spacing w:after="0"/>
              <w:jc w:val="left"/>
              <w:rPr>
                <w:rFonts w:eastAsia="Calibri"/>
              </w:rPr>
            </w:pPr>
            <w:r w:rsidRPr="00EC4D6E">
              <w:rPr>
                <w:rFonts w:eastAsia="Calibri"/>
              </w:rPr>
              <w:t>Controle lógico programável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3D4EB4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 w:rsidRPr="00EC4D6E">
              <w:rPr>
                <w:rFonts w:eastAsia="Calibri"/>
              </w:rPr>
              <w:t>SSPS</w:t>
            </w:r>
          </w:p>
        </w:tc>
        <w:tc>
          <w:tcPr>
            <w:tcW w:w="34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014F11" w14:textId="77777777" w:rsidR="0069092A" w:rsidRPr="004E1AA0" w:rsidRDefault="0069092A" w:rsidP="00221FFE">
            <w:pPr>
              <w:spacing w:after="0"/>
              <w:jc w:val="left"/>
              <w:rPr>
                <w:rFonts w:eastAsia="Calibri"/>
              </w:rPr>
            </w:pPr>
            <w:r w:rsidRPr="00EC4D6E">
              <w:rPr>
                <w:rFonts w:eastAsia="Calibri" w:cs="Times New Roman"/>
                <w:lang w:val="es-CL"/>
              </w:rPr>
              <w:t>PLC de segurança</w:t>
            </w:r>
          </w:p>
        </w:tc>
      </w:tr>
      <w:tr w:rsidR="0069092A" w:rsidRPr="004E1AA0" w14:paraId="52F33494" w14:textId="77777777" w:rsidTr="00C85228">
        <w:trPr>
          <w:trHeight w:val="715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1A5E10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4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973819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EC4D6E">
              <w:rPr>
                <w:rFonts w:eastAsia="Calibri" w:cs="Times New Roman"/>
              </w:rPr>
              <w:t>Mestre de conexão IO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4FD7F8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4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1D2A79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670F55">
              <w:rPr>
                <w:rFonts w:eastAsia="Calibri" w:cs="Times New Roman"/>
              </w:rPr>
              <w:t>Revestimento da máquina com mecanismo de bloqueio de porta</w:t>
            </w:r>
          </w:p>
        </w:tc>
      </w:tr>
      <w:tr w:rsidR="0069092A" w:rsidRPr="004E1AA0" w14:paraId="4D73D55F" w14:textId="77777777" w:rsidTr="00C85228">
        <w:trPr>
          <w:trHeight w:val="655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34FCB0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4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CECD7F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70F55">
              <w:rPr>
                <w:rFonts w:eastAsia="Calibri" w:cs="Times New Roman"/>
              </w:rPr>
              <w:t>Válvula de processo de segurança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E47A4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4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FF5BDC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670F55">
              <w:rPr>
                <w:rFonts w:eastAsia="Calibri" w:cs="Times New Roman"/>
              </w:rPr>
              <w:t>Sensor de posição final "FECHADO"</w:t>
            </w:r>
          </w:p>
        </w:tc>
      </w:tr>
      <w:tr w:rsidR="0069092A" w:rsidRPr="004E1AA0" w14:paraId="63CAEDA4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CD7E2B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4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6E1D99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70F55">
              <w:rPr>
                <w:rFonts w:eastAsia="Calibri" w:cs="Times New Roman"/>
              </w:rPr>
              <w:t>Ilha de válvulas de 2/3 vias NC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7258AA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4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C042AE" w14:textId="77777777" w:rsidR="0069092A" w:rsidRPr="00616D1E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70F55">
              <w:rPr>
                <w:rFonts w:eastAsia="Calibri"/>
              </w:rPr>
              <w:t>Válvula de purga de segurança</w:t>
            </w:r>
          </w:p>
        </w:tc>
      </w:tr>
      <w:tr w:rsidR="0069092A" w:rsidRPr="004E1AA0" w14:paraId="6B24D1B2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0BA403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</w:t>
            </w:r>
          </w:p>
        </w:tc>
        <w:tc>
          <w:tcPr>
            <w:tcW w:w="34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9FF577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70F55">
              <w:rPr>
                <w:rFonts w:eastAsia="Calibri" w:cs="Times New Roman"/>
                <w:lang w:val="es-CL"/>
              </w:rPr>
              <w:t>Troca de sinais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9878C5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b</w:t>
            </w:r>
          </w:p>
        </w:tc>
        <w:tc>
          <w:tcPr>
            <w:tcW w:w="34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5E13A8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670F55">
              <w:rPr>
                <w:rFonts w:eastAsia="Calibri" w:cs="Times New Roman"/>
                <w:lang w:val="es-CL"/>
              </w:rPr>
              <w:t>Barramento Profi-Net</w:t>
            </w:r>
          </w:p>
        </w:tc>
      </w:tr>
      <w:tr w:rsidR="0069092A" w:rsidRPr="004E1AA0" w14:paraId="187AB615" w14:textId="77777777" w:rsidTr="00221FFE">
        <w:trPr>
          <w:trHeight w:val="567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8D864E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c</w:t>
            </w:r>
          </w:p>
        </w:tc>
        <w:tc>
          <w:tcPr>
            <w:tcW w:w="34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666D3A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16D1E">
              <w:rPr>
                <w:rFonts w:eastAsia="Calibri" w:cs="Times New Roman"/>
              </w:rPr>
              <w:t>Barramento de conexão I/O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790C87" w14:textId="77777777" w:rsidR="0069092A" w:rsidRPr="004E1AA0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d</w:t>
            </w:r>
          </w:p>
        </w:tc>
        <w:tc>
          <w:tcPr>
            <w:tcW w:w="34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E29BAB" w14:textId="77777777" w:rsidR="0069092A" w:rsidRPr="004E1AA0" w:rsidRDefault="0069092A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670F55">
              <w:rPr>
                <w:rFonts w:eastAsia="Calibri" w:cs="Times New Roman"/>
                <w:lang w:val="es-CL"/>
              </w:rPr>
              <w:t>Ar de controle</w:t>
            </w:r>
          </w:p>
        </w:tc>
      </w:tr>
      <w:tr w:rsidR="0069092A" w:rsidRPr="004E1AA0" w14:paraId="7B26CC52" w14:textId="77777777" w:rsidTr="00C85228">
        <w:trPr>
          <w:trHeight w:val="749"/>
        </w:trPr>
        <w:tc>
          <w:tcPr>
            <w:tcW w:w="8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A7F7A1" w14:textId="77777777" w:rsidR="0069092A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e</w:t>
            </w:r>
          </w:p>
        </w:tc>
        <w:tc>
          <w:tcPr>
            <w:tcW w:w="34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D3B793" w14:textId="77777777" w:rsidR="0069092A" w:rsidRPr="00EC4D6E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70F55">
              <w:rPr>
                <w:rFonts w:eastAsia="Calibri" w:cs="Times New Roman"/>
                <w:lang w:val="es-CL"/>
              </w:rPr>
              <w:t>Meio potencialmente perigoso</w:t>
            </w:r>
          </w:p>
        </w:tc>
        <w:tc>
          <w:tcPr>
            <w:tcW w:w="80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36654F" w14:textId="77777777" w:rsidR="0069092A" w:rsidRDefault="0069092A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f</w:t>
            </w:r>
          </w:p>
        </w:tc>
        <w:tc>
          <w:tcPr>
            <w:tcW w:w="34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D9588C" w14:textId="77777777" w:rsidR="0069092A" w:rsidRPr="00616D1E" w:rsidRDefault="0069092A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16D1E">
              <w:rPr>
                <w:rFonts w:eastAsia="Calibri" w:cs="Times New Roman"/>
              </w:rPr>
              <w:t>Resposta dos sensores de posição final</w:t>
            </w:r>
          </w:p>
        </w:tc>
      </w:tr>
    </w:tbl>
    <w:p w14:paraId="1A796159" w14:textId="77777777" w:rsidR="0069092A" w:rsidRDefault="0069092A" w:rsidP="0069092A"/>
    <w:p w14:paraId="3D985B0A" w14:textId="77777777" w:rsidR="0069092A" w:rsidRDefault="0069092A" w:rsidP="0069092A">
      <w:pPr>
        <w:spacing w:line="259" w:lineRule="auto"/>
        <w:jc w:val="left"/>
      </w:pPr>
      <w:r>
        <w:br w:type="page"/>
      </w:r>
    </w:p>
    <w:p w14:paraId="18E961F5" w14:textId="77777777" w:rsidR="0069092A" w:rsidRDefault="0069092A" w:rsidP="0069092A">
      <w:r>
        <w:t>No caso de uma falha, o controlador lógico programável de segurança (PLCS) envia um sinal para as válvulas de purga de segurança. As válvulas de purga de segurança purgam o ar de controle com o que todas as válvulas de processo ficam na sua posição inicial. A posição inicial é pré-determinada mediante força elástica. Em sua posição inicial as válvulas de processo relevantes para a segurança estão fechadas (NC).</w:t>
      </w:r>
    </w:p>
    <w:p w14:paraId="4C5FA6E1" w14:textId="77777777" w:rsidR="0069092A" w:rsidRDefault="0069092A" w:rsidP="0069092A">
      <w:r>
        <w:t>No esquema elétrico as válvulas de processo de segurança são identificadas com a identificação de meios de produção S4.</w:t>
      </w:r>
    </w:p>
    <w:p w14:paraId="0C91EC65" w14:textId="77777777" w:rsidR="0069092A" w:rsidRDefault="0069092A" w:rsidP="0069092A">
      <w:pPr>
        <w:spacing w:line="259" w:lineRule="auto"/>
        <w:jc w:val="left"/>
      </w:pPr>
    </w:p>
    <w:bookmarkEnd w:id="11"/>
    <w:p w14:paraId="332B18B3" w14:textId="2BB06B77" w:rsidR="007A66B2" w:rsidRPr="00614D25" w:rsidRDefault="007A66B2" w:rsidP="007D58AE"/>
    <w:sectPr w:rsidR="007A66B2" w:rsidRPr="00614D25" w:rsidSect="0034363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1AE076" w14:textId="77777777" w:rsidR="003707D6" w:rsidRDefault="003707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707D6">
      <w:trPr>
        <w:trHeight w:val="454"/>
      </w:trPr>
      <w:tc>
        <w:tcPr>
          <w:tcW w:w="2838" w:type="dxa"/>
          <w:vAlign w:val="center"/>
        </w:tcPr>
        <w:p w14:paraId="6016363D" w14:textId="1FBFD6C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707D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707D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B3673" w14:textId="77777777" w:rsidR="003707D6" w:rsidRDefault="003707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6FC99" w14:textId="77777777" w:rsidR="003707D6" w:rsidRDefault="003707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707D6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707D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033938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707D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33CA8E" w14:textId="77777777" w:rsidR="003707D6" w:rsidRDefault="003707D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07D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092A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85228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69092A"/>
    <w:pPr>
      <w:widowControl w:val="0"/>
      <w:autoSpaceDE w:val="0"/>
      <w:autoSpaceDN w:val="0"/>
      <w:spacing w:before="33" w:after="120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808E2-AFEF-4AC9-9DFD-BC5D8FB71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1201</Words>
  <Characters>6846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