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84C1F" w14:textId="77777777" w:rsidR="00C85974" w:rsidRDefault="00C85974" w:rsidP="00C85974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787D3865" w14:textId="77777777" w:rsidR="00C85974" w:rsidRDefault="00C85974" w:rsidP="00C85974">
      <w:r>
        <w:t>Todos os dispositivos de isolamento e bloqueio de energias estão sinalizados de acordo com a norma da KHS.</w:t>
      </w:r>
    </w:p>
    <w:p w14:paraId="76E9738C" w14:textId="77777777" w:rsidR="00C85974" w:rsidRPr="00553D0F" w:rsidRDefault="00C85974" w:rsidP="00C85974">
      <w:r>
        <w:t>As informações sobre as marcações estão armazenadas na Documentação Técnica “Dados Específicos e Normas da KHS”, capítulo “K0357 - Marcação dos equipamentos operacionais”.</w:t>
      </w:r>
    </w:p>
    <w:p w14:paraId="7502C19C" w14:textId="77777777" w:rsidR="00C85974" w:rsidRDefault="00C85974" w:rsidP="00C85974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B3F7C" w14:textId="77777777" w:rsidR="007109EE" w:rsidRDefault="007109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109EE">
      <w:trPr>
        <w:trHeight w:val="454"/>
      </w:trPr>
      <w:tc>
        <w:tcPr>
          <w:tcW w:w="2838" w:type="dxa"/>
          <w:vAlign w:val="center"/>
        </w:tcPr>
        <w:p w14:paraId="6016363D" w14:textId="0AE1914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09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109E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EC54B" w14:textId="77777777" w:rsidR="007109EE" w:rsidRDefault="007109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893CD" w14:textId="77777777" w:rsidR="007109EE" w:rsidRDefault="007109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109EE">
      <w:trPr>
        <w:trHeight w:val="369"/>
      </w:trPr>
      <w:tc>
        <w:tcPr>
          <w:tcW w:w="963" w:type="dxa"/>
          <w:vMerge w:val="restart"/>
        </w:tcPr>
        <w:p w14:paraId="63EDE0D4" w14:textId="530A74F4" w:rsidR="00B91003" w:rsidRDefault="003D247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335A27C" wp14:editId="4BA753D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109E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E19639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09E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1DC7C" w14:textId="77777777" w:rsidR="007109EE" w:rsidRDefault="007109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247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09EE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5974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20D1A-5765-47F5-BC50-C8F3B31E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