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F233" w14:textId="77777777" w:rsidR="005A5580" w:rsidRPr="00017ACC" w:rsidRDefault="005A5580" w:rsidP="005A5580">
      <w:pPr>
        <w:pStyle w:val="Ttulo1"/>
      </w:pPr>
      <w:bookmarkStart w:id="1" w:name="_Toc49181747"/>
      <w:bookmarkStart w:id="2" w:name="_Toc89347487"/>
      <w:bookmarkStart w:id="3" w:name="_Toc89348685"/>
      <w:r w:rsidRPr="002446BE">
        <w:t>Estrutura e Funcionamento</w:t>
      </w:r>
      <w:bookmarkEnd w:id="1"/>
      <w:bookmarkEnd w:id="2"/>
      <w:bookmarkEnd w:id="3"/>
    </w:p>
    <w:p w14:paraId="63FC4D8A" w14:textId="77777777" w:rsidR="005A5580" w:rsidRDefault="005A5580" w:rsidP="005A5580">
      <w:r w:rsidRPr="00765C0D">
        <w:t>Este capítulo descreve os prin</w:t>
      </w:r>
      <w:r w:rsidRPr="005A5580">
        <w:t>cipais conceitos referentes ao funcionamento e características estruturais do equipamento</w:t>
      </w:r>
      <w:r w:rsidRPr="00765C0D">
        <w:t xml:space="preserve"> </w:t>
      </w:r>
      <w:r>
        <w:t>INNOPRO CMX.</w:t>
      </w:r>
    </w:p>
    <w:p w14:paraId="2DB9CFD3" w14:textId="77777777" w:rsidR="005A5580" w:rsidRDefault="005A5580" w:rsidP="005A5580">
      <w:pPr>
        <w:pStyle w:val="bildzentral"/>
        <w:keepNext/>
        <w:framePr w:hSpace="0" w:wrap="auto" w:vAnchor="margin" w:hAnchor="text" w:xAlign="left" w:yAlign="inline"/>
        <w:spacing w:line="360" w:lineRule="auto"/>
      </w:pPr>
      <w:bookmarkStart w:id="4" w:name="_Hlk19804423"/>
      <w:r w:rsidRPr="00F93FE2">
        <w:rPr>
          <w:noProof/>
        </w:rPr>
        <w:drawing>
          <wp:inline distT="0" distB="0" distL="0" distR="0" wp14:anchorId="15362758" wp14:editId="59900B85">
            <wp:extent cx="3560605" cy="3084394"/>
            <wp:effectExtent l="0" t="0" r="1905" b="1905"/>
            <wp:docPr id="2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476" cy="31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4C668CD8" w14:textId="59DA18CF" w:rsidR="005A5580" w:rsidRDefault="005A5580" w:rsidP="005A5580">
      <w:pPr>
        <w:pStyle w:val="Legenda"/>
      </w:pPr>
      <w:bookmarkStart w:id="5" w:name="_Toc49181764"/>
      <w:r w:rsidRPr="005566BB">
        <w:t xml:space="preserve">Figura </w:t>
      </w:r>
      <w:r w:rsidR="001B1DBE">
        <w:fldChar w:fldCharType="begin"/>
      </w:r>
      <w:r w:rsidR="001B1DBE">
        <w:instrText xml:space="preserve"> STYLEREF 1 \s </w:instrText>
      </w:r>
      <w:r w:rsidR="001B1DBE">
        <w:fldChar w:fldCharType="separate"/>
      </w:r>
      <w:r>
        <w:rPr>
          <w:noProof/>
        </w:rPr>
        <w:t>1</w:t>
      </w:r>
      <w:r w:rsidR="001B1DBE">
        <w:rPr>
          <w:noProof/>
        </w:rPr>
        <w:fldChar w:fldCharType="end"/>
      </w:r>
      <w:r>
        <w:noBreakHyphen/>
      </w:r>
      <w:r w:rsidR="001B1DBE">
        <w:fldChar w:fldCharType="begin"/>
      </w:r>
      <w:r w:rsidR="001B1DBE">
        <w:instrText xml:space="preserve"> SEQ Figura \* ARABIC \s 1 </w:instrText>
      </w:r>
      <w:r w:rsidR="001B1DBE">
        <w:fldChar w:fldCharType="separate"/>
      </w:r>
      <w:r>
        <w:rPr>
          <w:noProof/>
        </w:rPr>
        <w:t>1</w:t>
      </w:r>
      <w:r w:rsidR="001B1DBE">
        <w:rPr>
          <w:noProof/>
        </w:rPr>
        <w:fldChar w:fldCharType="end"/>
      </w:r>
      <w:r w:rsidRPr="005566BB">
        <w:t>: Exemplo ilustrativo de um sistema CMX</w:t>
      </w:r>
      <w:bookmarkEnd w:id="5"/>
    </w:p>
    <w:p w14:paraId="188493FD" w14:textId="77777777" w:rsidR="005A5580" w:rsidRPr="005A5580" w:rsidRDefault="005A5580" w:rsidP="005A5580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A5580" w:rsidRPr="00423AD7" w14:paraId="04A4EA4A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6CAFF0" w14:textId="77777777" w:rsidR="005A5580" w:rsidRPr="00423AD7" w:rsidRDefault="005A5580" w:rsidP="00F00585">
            <w:pPr>
              <w:spacing w:after="80"/>
              <w:jc w:val="center"/>
              <w:rPr>
                <w:rFonts w:eastAsia="Arial Unicode MS"/>
              </w:rPr>
            </w:pPr>
            <w:bookmarkStart w:id="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EA6412F" w14:textId="77777777" w:rsidR="005A5580" w:rsidRPr="001D1076" w:rsidRDefault="005A5580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B1F8E59" w14:textId="77777777" w:rsidR="005A5580" w:rsidRPr="00423AD7" w:rsidRDefault="005A5580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A5580" w:rsidRPr="00423AD7" w14:paraId="30379CC1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5BCD965" w14:textId="77777777" w:rsidR="005A5580" w:rsidRPr="00423AD7" w:rsidRDefault="005A5580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B316E98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80329994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ECE096" w14:textId="06238597" w:rsidR="005A5580" w:rsidRPr="001D1076" w:rsidRDefault="005A5580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A5580">
              <w:rPr>
                <w:rFonts w:eastAsia="Arial Unicode MS"/>
                <w:i/>
                <w:iCs/>
              </w:rPr>
              <w:t>As ilustrações podem divergir de acordo com a versão da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270E616" w14:textId="77777777" w:rsidR="005A5580" w:rsidRPr="00423AD7" w:rsidRDefault="005A5580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0DF00ED2" w14:textId="54C2EE68" w:rsidR="005A5580" w:rsidRDefault="005A5580" w:rsidP="005A5580"/>
    <w:p w14:paraId="5540DE93" w14:textId="7183B00A" w:rsidR="005A5580" w:rsidRPr="005A5580" w:rsidRDefault="005A5580" w:rsidP="005A5580">
      <w:r w:rsidRPr="005A5580">
        <w:t>O sistema INNOPRO CMX é responsável pela produção de bebidas através de um processo de desaeração da água, mistura xarope/</w:t>
      </w:r>
      <w:r w:rsidR="001B1DBE">
        <w:t xml:space="preserve">concentrados </w:t>
      </w:r>
      <w:r w:rsidRPr="005A5580">
        <w:t>com água desaerada e carbonatação em linha.</w:t>
      </w:r>
    </w:p>
    <w:p w14:paraId="332B18B3" w14:textId="77FA915C" w:rsidR="005A5580" w:rsidRDefault="005A5580">
      <w:pPr>
        <w:spacing w:line="259" w:lineRule="auto"/>
        <w:jc w:val="left"/>
      </w:pPr>
      <w:r>
        <w:br w:type="page"/>
      </w:r>
    </w:p>
    <w:p w14:paraId="62A75BA6" w14:textId="5284465C" w:rsidR="007A66B2" w:rsidRDefault="005A5580" w:rsidP="005A5580">
      <w:pPr>
        <w:pStyle w:val="Ttulo2"/>
      </w:pPr>
      <w:r>
        <w:lastRenderedPageBreak/>
        <w:t>Estrutura</w:t>
      </w:r>
    </w:p>
    <w:p w14:paraId="378C13F6" w14:textId="10F2B60A" w:rsidR="005A5580" w:rsidRDefault="005A5580" w:rsidP="005A5580">
      <w:pPr>
        <w:pStyle w:val="Ttulo3"/>
      </w:pPr>
      <w:r>
        <w:t>Fluxograma</w:t>
      </w:r>
    </w:p>
    <w:p w14:paraId="5DF439EC" w14:textId="77777777" w:rsidR="005A5580" w:rsidRDefault="005A5580" w:rsidP="005A5580">
      <w:pPr>
        <w:keepNext/>
        <w:jc w:val="center"/>
      </w:pPr>
      <w:r>
        <w:rPr>
          <w:noProof/>
        </w:rPr>
        <w:drawing>
          <wp:inline distT="0" distB="0" distL="0" distR="0" wp14:anchorId="0373FA36" wp14:editId="33C57957">
            <wp:extent cx="5401310" cy="3883660"/>
            <wp:effectExtent l="0" t="0" r="8890" b="2540"/>
            <wp:docPr id="1" name="Imagem 1" descr="Fluxograma 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88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2B904" w14:textId="3F18284B" w:rsidR="005A5580" w:rsidRDefault="005A5580" w:rsidP="005A5580">
      <w:pPr>
        <w:pStyle w:val="Legenda"/>
      </w:pPr>
      <w:r>
        <w:t xml:space="preserve">Figura </w:t>
      </w:r>
      <w:r w:rsidR="001B1DBE">
        <w:fldChar w:fldCharType="begin"/>
      </w:r>
      <w:r w:rsidR="001B1DBE">
        <w:instrText xml:space="preserve"> STYLEREF 1 \s </w:instrText>
      </w:r>
      <w:r w:rsidR="001B1DBE">
        <w:fldChar w:fldCharType="separate"/>
      </w:r>
      <w:r>
        <w:rPr>
          <w:noProof/>
        </w:rPr>
        <w:t>1</w:t>
      </w:r>
      <w:r w:rsidR="001B1DBE">
        <w:rPr>
          <w:noProof/>
        </w:rPr>
        <w:fldChar w:fldCharType="end"/>
      </w:r>
      <w:r>
        <w:noBreakHyphen/>
      </w:r>
      <w:r w:rsidR="001B1DBE">
        <w:fldChar w:fldCharType="begin"/>
      </w:r>
      <w:r w:rsidR="001B1DBE">
        <w:instrText xml:space="preserve"> SEQ Figura \* ARABIC \s 1 </w:instrText>
      </w:r>
      <w:r w:rsidR="001B1DBE">
        <w:fldChar w:fldCharType="separate"/>
      </w:r>
      <w:r>
        <w:rPr>
          <w:noProof/>
        </w:rPr>
        <w:t>2</w:t>
      </w:r>
      <w:r w:rsidR="001B1DBE">
        <w:rPr>
          <w:noProof/>
        </w:rPr>
        <w:fldChar w:fldCharType="end"/>
      </w:r>
      <w:r>
        <w:t>: Fluxograma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9"/>
        <w:gridCol w:w="5976"/>
      </w:tblGrid>
      <w:tr w:rsidR="005A5580" w:rsidRPr="001129A1" w14:paraId="76FA9DB6" w14:textId="77777777" w:rsidTr="005A5580">
        <w:trPr>
          <w:trHeight w:val="454"/>
          <w:tblHeader/>
          <w:jc w:val="center"/>
        </w:trPr>
        <w:tc>
          <w:tcPr>
            <w:tcW w:w="2529" w:type="dxa"/>
            <w:shd w:val="clear" w:color="auto" w:fill="BFBFBF"/>
            <w:vAlign w:val="center"/>
          </w:tcPr>
          <w:p w14:paraId="5978346F" w14:textId="71B78AEE" w:rsidR="005A5580" w:rsidRPr="00DF5A95" w:rsidRDefault="005A5580" w:rsidP="00F00585">
            <w:pPr>
              <w:pStyle w:val="TableParagraph"/>
              <w:jc w:val="center"/>
              <w:rPr>
                <w:b/>
                <w:bCs/>
              </w:rPr>
            </w:pPr>
            <w:bookmarkStart w:id="7" w:name="_Hlk85617766"/>
            <w:r>
              <w:rPr>
                <w:b/>
                <w:bCs/>
              </w:rPr>
              <w:t>Área</w:t>
            </w:r>
          </w:p>
        </w:tc>
        <w:tc>
          <w:tcPr>
            <w:tcW w:w="5976" w:type="dxa"/>
            <w:shd w:val="clear" w:color="auto" w:fill="BFBFBF"/>
            <w:vAlign w:val="center"/>
          </w:tcPr>
          <w:p w14:paraId="5BA8D4DA" w14:textId="718AAD87" w:rsidR="005A5580" w:rsidRPr="00DF5A95" w:rsidRDefault="005A5580" w:rsidP="00F0058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Estrutura</w:t>
            </w:r>
          </w:p>
        </w:tc>
      </w:tr>
      <w:tr w:rsidR="005A5580" w:rsidRPr="001129A1" w14:paraId="0656F3EB" w14:textId="77777777" w:rsidTr="005A5580">
        <w:trPr>
          <w:trHeight w:val="454"/>
          <w:jc w:val="center"/>
        </w:trPr>
        <w:tc>
          <w:tcPr>
            <w:tcW w:w="2529" w:type="dxa"/>
            <w:shd w:val="clear" w:color="auto" w:fill="F2F2F2" w:themeFill="background1" w:themeFillShade="F2"/>
            <w:vAlign w:val="center"/>
          </w:tcPr>
          <w:p w14:paraId="244EA39F" w14:textId="30842E23" w:rsidR="005A5580" w:rsidRPr="00976F09" w:rsidRDefault="005A5580" w:rsidP="005A5580">
            <w:pPr>
              <w:pStyle w:val="TableParagraph"/>
            </w:pPr>
            <w:r>
              <w:t>CP11</w:t>
            </w:r>
          </w:p>
        </w:tc>
        <w:tc>
          <w:tcPr>
            <w:tcW w:w="5976" w:type="dxa"/>
            <w:shd w:val="clear" w:color="auto" w:fill="F2F2F2" w:themeFill="background1" w:themeFillShade="F2"/>
            <w:vAlign w:val="center"/>
          </w:tcPr>
          <w:p w14:paraId="07814C40" w14:textId="59EAB168" w:rsidR="005A5580" w:rsidRPr="00976F09" w:rsidRDefault="005A5580" w:rsidP="005A5580">
            <w:pPr>
              <w:pStyle w:val="TableParagraph"/>
            </w:pPr>
            <w:r>
              <w:t>Componentes do sistema de desaeração</w:t>
            </w:r>
          </w:p>
        </w:tc>
      </w:tr>
      <w:tr w:rsidR="005A5580" w:rsidRPr="001129A1" w14:paraId="7694009D" w14:textId="77777777" w:rsidTr="005A5580">
        <w:trPr>
          <w:trHeight w:val="454"/>
          <w:jc w:val="center"/>
        </w:trPr>
        <w:tc>
          <w:tcPr>
            <w:tcW w:w="2529" w:type="dxa"/>
            <w:shd w:val="clear" w:color="auto" w:fill="F2F2F2" w:themeFill="background1" w:themeFillShade="F2"/>
            <w:vAlign w:val="center"/>
          </w:tcPr>
          <w:p w14:paraId="57E93D9F" w14:textId="1BA4C191" w:rsidR="005A5580" w:rsidRPr="00976F09" w:rsidRDefault="005A5580" w:rsidP="005A5580">
            <w:pPr>
              <w:pStyle w:val="TableParagraph"/>
            </w:pPr>
            <w:r>
              <w:t>CP21</w:t>
            </w:r>
          </w:p>
        </w:tc>
        <w:tc>
          <w:tcPr>
            <w:tcW w:w="5976" w:type="dxa"/>
            <w:shd w:val="clear" w:color="auto" w:fill="F2F2F2" w:themeFill="background1" w:themeFillShade="F2"/>
            <w:vAlign w:val="center"/>
          </w:tcPr>
          <w:p w14:paraId="0651436A" w14:textId="1AA2A8E7" w:rsidR="005A5580" w:rsidRPr="00976F09" w:rsidRDefault="005A5580" w:rsidP="005A5580">
            <w:pPr>
              <w:pStyle w:val="TableParagraph"/>
            </w:pPr>
            <w:r>
              <w:t>Tanque de xarope e componentes</w:t>
            </w:r>
          </w:p>
        </w:tc>
      </w:tr>
      <w:tr w:rsidR="005A5580" w:rsidRPr="001129A1" w14:paraId="3E040A16" w14:textId="77777777" w:rsidTr="005A5580">
        <w:trPr>
          <w:trHeight w:val="454"/>
          <w:jc w:val="center"/>
        </w:trPr>
        <w:tc>
          <w:tcPr>
            <w:tcW w:w="2529" w:type="dxa"/>
            <w:shd w:val="clear" w:color="auto" w:fill="F2F2F2" w:themeFill="background1" w:themeFillShade="F2"/>
            <w:vAlign w:val="center"/>
          </w:tcPr>
          <w:p w14:paraId="3F6444DE" w14:textId="6D36557F" w:rsidR="005A5580" w:rsidRPr="00976F09" w:rsidRDefault="005A5580" w:rsidP="005A5580">
            <w:pPr>
              <w:pStyle w:val="TableParagraph"/>
            </w:pPr>
            <w:r>
              <w:t>CP30</w:t>
            </w:r>
          </w:p>
        </w:tc>
        <w:tc>
          <w:tcPr>
            <w:tcW w:w="5976" w:type="dxa"/>
            <w:shd w:val="clear" w:color="auto" w:fill="F2F2F2" w:themeFill="background1" w:themeFillShade="F2"/>
            <w:vAlign w:val="center"/>
          </w:tcPr>
          <w:p w14:paraId="26E86F56" w14:textId="587AD016" w:rsidR="005A5580" w:rsidRPr="00976F09" w:rsidRDefault="005A5580" w:rsidP="005A5580">
            <w:pPr>
              <w:pStyle w:val="TableParagraph"/>
            </w:pPr>
            <w:r>
              <w:t>Tanque Pulmão e componentes</w:t>
            </w:r>
          </w:p>
        </w:tc>
      </w:tr>
      <w:tr w:rsidR="005A5580" w:rsidRPr="001129A1" w14:paraId="798E971B" w14:textId="77777777" w:rsidTr="005A5580">
        <w:trPr>
          <w:trHeight w:val="454"/>
          <w:jc w:val="center"/>
        </w:trPr>
        <w:tc>
          <w:tcPr>
            <w:tcW w:w="2529" w:type="dxa"/>
            <w:shd w:val="clear" w:color="auto" w:fill="F2F2F2" w:themeFill="background1" w:themeFillShade="F2"/>
            <w:vAlign w:val="center"/>
          </w:tcPr>
          <w:p w14:paraId="64BC1A02" w14:textId="7A8DCC02" w:rsidR="005A5580" w:rsidRPr="00976F09" w:rsidRDefault="005A5580" w:rsidP="005A5580">
            <w:pPr>
              <w:pStyle w:val="TableParagraph"/>
            </w:pPr>
            <w:r>
              <w:t>CP40</w:t>
            </w:r>
          </w:p>
        </w:tc>
        <w:tc>
          <w:tcPr>
            <w:tcW w:w="5976" w:type="dxa"/>
            <w:shd w:val="clear" w:color="auto" w:fill="F2F2F2" w:themeFill="background1" w:themeFillShade="F2"/>
            <w:vAlign w:val="center"/>
          </w:tcPr>
          <w:p w14:paraId="3C03D1A6" w14:textId="2CD857C6" w:rsidR="005A5580" w:rsidRPr="00976F09" w:rsidRDefault="005A5580" w:rsidP="005A5580">
            <w:pPr>
              <w:pStyle w:val="TableParagraph"/>
            </w:pPr>
            <w:r w:rsidRPr="00A11E40">
              <w:t>Sistema de refrigeração Mayekawa e componentes</w:t>
            </w:r>
          </w:p>
        </w:tc>
      </w:tr>
      <w:bookmarkEnd w:id="7"/>
    </w:tbl>
    <w:p w14:paraId="1CCE9845" w14:textId="3B876292" w:rsidR="005A5580" w:rsidRDefault="005A5580" w:rsidP="005A5580"/>
    <w:p w14:paraId="53DD5015" w14:textId="77777777" w:rsidR="005A5580" w:rsidRDefault="005A5580">
      <w:pPr>
        <w:spacing w:line="259" w:lineRule="auto"/>
        <w:jc w:val="left"/>
      </w:pPr>
      <w:r>
        <w:br w:type="page"/>
      </w:r>
    </w:p>
    <w:p w14:paraId="1CA7433E" w14:textId="399945A2" w:rsidR="005A5580" w:rsidRDefault="005A5580" w:rsidP="005A5580">
      <w:pPr>
        <w:pStyle w:val="Ttulo2"/>
      </w:pPr>
      <w:r>
        <w:lastRenderedPageBreak/>
        <w:t>Funcionamento</w:t>
      </w:r>
    </w:p>
    <w:p w14:paraId="57CB60FD" w14:textId="2FFCF7D4" w:rsidR="005A5580" w:rsidRDefault="005A5580" w:rsidP="005A5580">
      <w:pPr>
        <w:pStyle w:val="Ttulo3"/>
      </w:pPr>
      <w:r>
        <w:t xml:space="preserve">Desaeração </w:t>
      </w:r>
    </w:p>
    <w:p w14:paraId="393D7861" w14:textId="77777777" w:rsidR="005A5580" w:rsidRDefault="005A5580" w:rsidP="005A5580">
      <w:r>
        <w:t>Geralmente se desgaseifica a água da bebida para evitar a oxidação da bebida final e facilitar / melhorar a entrada de dióxido de carbono. O desaerador extrai o oxigênio e outros gases do líquido.</w:t>
      </w:r>
    </w:p>
    <w:p w14:paraId="0640050C" w14:textId="77777777" w:rsidR="005A5580" w:rsidRDefault="005A5580" w:rsidP="005A5580">
      <w:r>
        <w:t>A desaeração poderá ser de simples ou de duplo estágio de acordo com o método de vácuo, dependendo do valor residual de oxigênio desejado. A água da bebida é pulverizada dentro do tanque sob forte vácuo através de bocais especialmente projetados.</w:t>
      </w:r>
    </w:p>
    <w:p w14:paraId="610E4EBC" w14:textId="77777777" w:rsidR="005A5580" w:rsidRDefault="005A5580" w:rsidP="005A5580">
      <w:r>
        <w:t>Os gases contidos na água de bebida geralmente são aspirados pela bomba de vácuo. A água desaerada é bombeada continuamente através de uma bomba centrífuga.</w:t>
      </w:r>
    </w:p>
    <w:p w14:paraId="7CEF7708" w14:textId="77777777" w:rsidR="005A5580" w:rsidRDefault="005A5580" w:rsidP="005A5580">
      <w:r>
        <w:t>No método de dupla desaeração, este processo é realizado por duas vezes. Neste caso o tanque de desaeração está equipado com duas câmaras sob vácuo.</w:t>
      </w:r>
    </w:p>
    <w:p w14:paraId="09B66DF6" w14:textId="77777777" w:rsidR="005A5580" w:rsidRDefault="005A5580" w:rsidP="005A5580">
      <w:r>
        <w:t>Opcionalmente pode haver uma adição de CO2 na água de bebida, para reduzir o oxigênio residual mediante a diminuição da pressão parcial.</w:t>
      </w:r>
    </w:p>
    <w:p w14:paraId="36A53A2E" w14:textId="77777777" w:rsidR="005A5580" w:rsidRDefault="005A5580" w:rsidP="005A5580"/>
    <w:p w14:paraId="7BB5B8F2" w14:textId="52B88D3A" w:rsidR="005A5580" w:rsidRDefault="005A5580" w:rsidP="005A5580">
      <w:pPr>
        <w:pStyle w:val="Ttulo3"/>
      </w:pPr>
      <w:r>
        <w:t>Dosagem / Mistura</w:t>
      </w:r>
    </w:p>
    <w:p w14:paraId="5C1C1918" w14:textId="77777777" w:rsidR="005A5580" w:rsidRDefault="005A5580" w:rsidP="005A5580">
      <w:r>
        <w:t>Dois ou mais fluxos de líquido são dosados de acordo com o pré-selecionamento da proporção. Pode selecionar um amplo range de relação de mistura alcançando-se uma alta precisão de dosificação.</w:t>
      </w:r>
    </w:p>
    <w:p w14:paraId="3CFBA65B" w14:textId="77777777" w:rsidR="005A5580" w:rsidRDefault="005A5580" w:rsidP="005A5580">
      <w:r>
        <w:t>A quantidade de bebida pronta e quantidade de concentrado / xarope são medidas durante o processo de dosagem através de medidores de vazão indutivos</w:t>
      </w:r>
    </w:p>
    <w:p w14:paraId="1D29B578" w14:textId="77777777" w:rsidR="005A5580" w:rsidRDefault="005A5580" w:rsidP="005A5580">
      <w:r>
        <w:t>eletromagnéticos e / ou medidores mássicos e um controlador para assegurar que a proporção de vazão se mantenha constante. Para o xarope ou concentrado um pequeno tanque prévio é instalado para eliminar flutuações de pressão do suprimento.</w:t>
      </w:r>
    </w:p>
    <w:p w14:paraId="64239036" w14:textId="139059E4" w:rsidR="005A5580" w:rsidRDefault="005A5580" w:rsidP="005A5580">
      <w:r>
        <w:t>A mistura dos componentes será feita por uma bomba de circulação de multi-estágio especial que ao mesmo tempo serve como um misturador dinâmico e elevador de pressão para Carbonatação.</w:t>
      </w:r>
    </w:p>
    <w:p w14:paraId="23D54C1B" w14:textId="6338E2A0" w:rsidR="005A5580" w:rsidRDefault="005A5580">
      <w:pPr>
        <w:spacing w:line="259" w:lineRule="auto"/>
        <w:jc w:val="left"/>
      </w:pPr>
      <w:r>
        <w:br w:type="page"/>
      </w:r>
    </w:p>
    <w:p w14:paraId="43605CBB" w14:textId="2CC8A880" w:rsidR="005A5580" w:rsidRDefault="005A5580" w:rsidP="005A5580">
      <w:pPr>
        <w:pStyle w:val="Ttulo3"/>
      </w:pPr>
      <w:r>
        <w:lastRenderedPageBreak/>
        <w:t>Resfriador de Bebidas</w:t>
      </w:r>
    </w:p>
    <w:p w14:paraId="3824E2F0" w14:textId="77777777" w:rsidR="005A5580" w:rsidRDefault="005A5580" w:rsidP="005A5580">
      <w:r>
        <w:t>A mistura, sem ser carbonatada, pode ser resfriada se necessária.</w:t>
      </w:r>
    </w:p>
    <w:p w14:paraId="7A22F4B0" w14:textId="77777777" w:rsidR="005A5580" w:rsidRDefault="005A5580" w:rsidP="005A5580">
      <w:r>
        <w:t>O motivo para isto é a temperatura do produto, que se encontra consideravelmente alta, acima de 20°C, já que com isto, a pressão do sistema vai aumentando para absorver dióxido de carbono ou para manter o nível de carbonatação (Tabela de saturação de CO2).</w:t>
      </w:r>
    </w:p>
    <w:p w14:paraId="2A120C89" w14:textId="77777777" w:rsidR="005A5580" w:rsidRDefault="005A5580" w:rsidP="005A5580">
      <w:r>
        <w:t>A temperatura da Enchedora também é decisiva; sob certas circunstâncias a produção nominal da Enchedora só pode ser alcançada até certa temperatura.</w:t>
      </w:r>
    </w:p>
    <w:p w14:paraId="11779C58" w14:textId="77777777" w:rsidR="005A5580" w:rsidRDefault="005A5580" w:rsidP="005A5580">
      <w:r>
        <w:t>O Resfriador de bebida geralmente utilizado é um trocador a placas localizadas entre a mistura e a carbonatação. Esta localização é vantajosa, pois a água e o xarope podem ser resfriados ao mesmo tempo.</w:t>
      </w:r>
    </w:p>
    <w:p w14:paraId="34B594C4" w14:textId="77777777" w:rsidR="005A5580" w:rsidRDefault="005A5580" w:rsidP="005A5580">
      <w:r>
        <w:t>Para a desgaseificação mediante vácuo, é conveniente ter a água da bebida a uma temperatura mais elevada possível.</w:t>
      </w:r>
    </w:p>
    <w:p w14:paraId="3518F0E8" w14:textId="77777777" w:rsidR="005A5580" w:rsidRDefault="005A5580" w:rsidP="005A5580">
      <w:r>
        <w:t>Água gelada ou glicol são usados como fluidos refrigerantes, porem em alguns casos conforme solicitação do cliente é utilizado sistema de amônia. A vazão do fluido refrigerante é regulada por um controlador automático de temperatura para manter a temperatura desejada do produto final constante.</w:t>
      </w:r>
    </w:p>
    <w:p w14:paraId="18DEB59F" w14:textId="77777777" w:rsidR="005A5580" w:rsidRDefault="005A5580" w:rsidP="005A5580">
      <w:r>
        <w:t>É necessário tomar medidas especiais para temperaturas de bebida abaixo de 2°C ou temperaturas de glicol abaixo - 3 °C para impedir o congelamento do produto no Resfriador.</w:t>
      </w:r>
    </w:p>
    <w:p w14:paraId="32EA5739" w14:textId="77777777" w:rsidR="005A5580" w:rsidRDefault="005A5580" w:rsidP="005A5580">
      <w:r>
        <w:t>Quando selecionado e fixado o setpoint de temperatura do controlador, levar em conta que a temperatura de produto pode aumentar consideravelmente quando a tubulação e tanques não forem isolados termicamente. Esse acréscimo de temperatura pode influenciar no enchimento ou no setpoint de temperatura.</w:t>
      </w:r>
    </w:p>
    <w:p w14:paraId="632103F7" w14:textId="2DE56245" w:rsidR="005A5580" w:rsidRDefault="005A5580">
      <w:pPr>
        <w:spacing w:line="259" w:lineRule="auto"/>
        <w:jc w:val="left"/>
      </w:pPr>
      <w:r>
        <w:br w:type="page"/>
      </w:r>
    </w:p>
    <w:p w14:paraId="4B4CC518" w14:textId="494127A2" w:rsidR="005A5580" w:rsidRDefault="005A5580" w:rsidP="005A5580">
      <w:pPr>
        <w:pStyle w:val="Ttulo3"/>
      </w:pPr>
      <w:r>
        <w:lastRenderedPageBreak/>
        <w:t>Carbonatação</w:t>
      </w:r>
    </w:p>
    <w:p w14:paraId="2AD76E77" w14:textId="77777777" w:rsidR="005A5580" w:rsidRDefault="005A5580" w:rsidP="005A5580">
      <w:r>
        <w:t>Dióxido de carbono e bebida se mistura em um dispositivo in-line na tubulação da bebida, fixando-se o dióxido de carbono na bebida.</w:t>
      </w:r>
    </w:p>
    <w:p w14:paraId="25B59FD4" w14:textId="77777777" w:rsidR="005A5580" w:rsidRDefault="005A5580" w:rsidP="005A5580">
      <w:r>
        <w:t>Isto acontece com uma pressão constante onde o sistema de pressão deve sempre se adequar a temperatura da bebida.</w:t>
      </w:r>
    </w:p>
    <w:p w14:paraId="43C13E44" w14:textId="77777777" w:rsidR="005A5580" w:rsidRDefault="005A5580" w:rsidP="005A5580">
      <w:r>
        <w:t>Então, a bebida misturada e carbonatada são alimentadas ao tanque de armazenamento sob pressão positiva constante de CO2, pronta para fornecimento à máquina Enchedora.</w:t>
      </w:r>
    </w:p>
    <w:p w14:paraId="677E7DA8" w14:textId="77777777" w:rsidR="005A5580" w:rsidRDefault="005A5580" w:rsidP="005A5580">
      <w:r>
        <w:t>O excesso de CO2 das mudanças de nível no tanque de armazenamento é colocado na unidade de Carbonatação para assegurar a mais alta eficiência de CO2 da quantidade em uso.</w:t>
      </w:r>
    </w:p>
    <w:p w14:paraId="7AA796C1" w14:textId="77777777" w:rsidR="005A5580" w:rsidRDefault="005A5580" w:rsidP="005A5580">
      <w:r>
        <w:t>A carbonatação por diferencial de pressão garante uma carbonatação uniforme e isenta de espuma, que assegura operação confiável e valores exatos de CO2 até mesmo para produtos difíceis.</w:t>
      </w:r>
    </w:p>
    <w:p w14:paraId="0A4F6C91" w14:textId="77777777" w:rsidR="005A5580" w:rsidRDefault="005A5580" w:rsidP="005A5580">
      <w:r>
        <w:t>A capacidade do tanque pulmão é adaptada para a capacidade do sistema e homogeneização dos componentes. O tanque pulmão também compensa o pico de produção da Enchedora.</w:t>
      </w:r>
    </w:p>
    <w:p w14:paraId="5908A3F9" w14:textId="2404B34B" w:rsidR="005A5580" w:rsidRPr="005A5580" w:rsidRDefault="005A5580" w:rsidP="005A5580">
      <w:r>
        <w:t>Para o controle da relação pode opcionalmente ser implementado um medidor mássico de dióxido de carbono com uma válvula de controle automática.</w:t>
      </w:r>
    </w:p>
    <w:sectPr w:rsidR="005A5580" w:rsidRPr="005A5580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47B18">
      <w:trPr>
        <w:trHeight w:val="454"/>
      </w:trPr>
      <w:tc>
        <w:tcPr>
          <w:tcW w:w="2838" w:type="dxa"/>
          <w:vAlign w:val="center"/>
        </w:tcPr>
        <w:p w14:paraId="6016363D" w14:textId="0FE598E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B1DB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03/2025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B1DB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D47B18">
      <w:trPr>
        <w:trHeight w:val="369"/>
      </w:trPr>
      <w:tc>
        <w:tcPr>
          <w:tcW w:w="964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47B18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5712849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B1DBE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252466778">
    <w:abstractNumId w:val="5"/>
  </w:num>
  <w:num w:numId="2" w16cid:durableId="2028437101">
    <w:abstractNumId w:val="7"/>
  </w:num>
  <w:num w:numId="3" w16cid:durableId="619532713">
    <w:abstractNumId w:val="2"/>
  </w:num>
  <w:num w:numId="4" w16cid:durableId="222838416">
    <w:abstractNumId w:val="15"/>
  </w:num>
  <w:num w:numId="5" w16cid:durableId="762989218">
    <w:abstractNumId w:val="11"/>
  </w:num>
  <w:num w:numId="6" w16cid:durableId="491994974">
    <w:abstractNumId w:val="14"/>
  </w:num>
  <w:num w:numId="7" w16cid:durableId="1010185081">
    <w:abstractNumId w:val="10"/>
  </w:num>
  <w:num w:numId="8" w16cid:durableId="86121369">
    <w:abstractNumId w:val="1"/>
  </w:num>
  <w:num w:numId="9" w16cid:durableId="1981689706">
    <w:abstractNumId w:val="13"/>
  </w:num>
  <w:num w:numId="10" w16cid:durableId="1952668961">
    <w:abstractNumId w:val="8"/>
  </w:num>
  <w:num w:numId="11" w16cid:durableId="1062482963">
    <w:abstractNumId w:val="9"/>
  </w:num>
  <w:num w:numId="12" w16cid:durableId="619458711">
    <w:abstractNumId w:val="0"/>
  </w:num>
  <w:num w:numId="13" w16cid:durableId="242305482">
    <w:abstractNumId w:val="6"/>
  </w:num>
  <w:num w:numId="14" w16cid:durableId="1863585825">
    <w:abstractNumId w:val="4"/>
  </w:num>
  <w:num w:numId="15" w16cid:durableId="1275093041">
    <w:abstractNumId w:val="3"/>
  </w:num>
  <w:num w:numId="16" w16cid:durableId="15045889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1DBE"/>
    <w:rsid w:val="001B3E79"/>
    <w:rsid w:val="001B6AB3"/>
    <w:rsid w:val="001D1076"/>
    <w:rsid w:val="001D4334"/>
    <w:rsid w:val="001D4345"/>
    <w:rsid w:val="001F49A9"/>
    <w:rsid w:val="002054FC"/>
    <w:rsid w:val="002118F7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4F30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5580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47B18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B365A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80AA1-BA2F-4153-B0B6-9B58E909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814</Words>
  <Characters>4397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2025-03-12T18:53:00Z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