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61885" w14:textId="77777777" w:rsidR="00950EA6" w:rsidRDefault="00950EA6" w:rsidP="00950EA6">
      <w:pPr>
        <w:pStyle w:val="Ttulo3"/>
      </w:pPr>
      <w:bookmarkStart w:id="1" w:name="_Toc56067973"/>
      <w:bookmarkStart w:id="2" w:name="_GoBack"/>
      <w:bookmarkEnd w:id="2"/>
      <w:r>
        <w:t>Medidores de vazão</w:t>
      </w:r>
      <w:bookmarkEnd w:id="1"/>
    </w:p>
    <w:p w14:paraId="3CC78567" w14:textId="77777777" w:rsidR="00950EA6" w:rsidRPr="00841AF8" w:rsidRDefault="00950EA6" w:rsidP="00950EA6">
      <w:pPr>
        <w:rPr>
          <w:b/>
        </w:rPr>
      </w:pPr>
      <w:r w:rsidRPr="00841AF8">
        <w:rPr>
          <w:b/>
        </w:rPr>
        <w:t>Estrutura</w:t>
      </w:r>
    </w:p>
    <w:p w14:paraId="4D558726" w14:textId="77777777" w:rsidR="00950EA6" w:rsidRDefault="00950EA6" w:rsidP="00950EA6">
      <w:pPr>
        <w:keepNext/>
        <w:jc w:val="center"/>
      </w:pPr>
      <w:r>
        <w:rPr>
          <w:noProof/>
        </w:rPr>
        <w:drawing>
          <wp:inline distT="0" distB="0" distL="0" distR="0" wp14:anchorId="1F379B4C" wp14:editId="334D6B55">
            <wp:extent cx="4323715" cy="2257425"/>
            <wp:effectExtent l="0" t="0" r="635" b="9525"/>
            <wp:docPr id="949335" name="Imagem 94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EA8A0" w14:textId="77777777" w:rsidR="00950EA6" w:rsidRDefault="00950EA6" w:rsidP="00950E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F6CFF">
        <w:fldChar w:fldCharType="begin"/>
      </w:r>
      <w:r w:rsidR="005F6CFF">
        <w:instrText xml:space="preserve"> SEQ Figura \* ARABIC \s 1 </w:instrText>
      </w:r>
      <w:r w:rsidR="005F6CFF">
        <w:fldChar w:fldCharType="separate"/>
      </w:r>
      <w:r>
        <w:rPr>
          <w:noProof/>
        </w:rPr>
        <w:t>1</w:t>
      </w:r>
      <w:r w:rsidR="005F6CFF">
        <w:rPr>
          <w:noProof/>
        </w:rPr>
        <w:fldChar w:fldCharType="end"/>
      </w:r>
      <w:r w:rsidRPr="00C26EE9">
        <w:t>: Medidor de vazão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50EA6" w:rsidRPr="00D62EBB" w14:paraId="6923514D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07EA93" w14:textId="77777777" w:rsidR="00950EA6" w:rsidRPr="00D62EBB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56007181"/>
            <w:r w:rsidRPr="00D62EB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CBEEB2F" w14:textId="77777777" w:rsidR="00950EA6" w:rsidRPr="00D62EBB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62EB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51457D" w14:textId="77777777" w:rsidR="00950EA6" w:rsidRPr="00D62EBB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62EB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FE396F7" w14:textId="77777777" w:rsidR="00950EA6" w:rsidRPr="00D62EBB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62EBB">
              <w:rPr>
                <w:rFonts w:eastAsia="Calibri"/>
                <w:b/>
              </w:rPr>
              <w:t>Descrição</w:t>
            </w:r>
          </w:p>
        </w:tc>
      </w:tr>
      <w:tr w:rsidR="00950EA6" w:rsidRPr="00D62EBB" w14:paraId="3AD924FD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2F36F" w14:textId="77777777" w:rsidR="00950EA6" w:rsidRPr="00D62EBB" w:rsidRDefault="00950EA6" w:rsidP="00221FFE">
            <w:pPr>
              <w:spacing w:after="0"/>
              <w:jc w:val="center"/>
              <w:rPr>
                <w:rFonts w:eastAsia="Calibri"/>
              </w:rPr>
            </w:pPr>
            <w:r w:rsidRPr="00D62EB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71917D" w14:textId="77777777" w:rsidR="00950EA6" w:rsidRPr="00D62EBB" w:rsidRDefault="00950EA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de medição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E729AD" w14:textId="77777777" w:rsidR="00950EA6" w:rsidRPr="00D62EBB" w:rsidRDefault="00950EA6" w:rsidP="00221FFE">
            <w:pPr>
              <w:spacing w:after="0"/>
              <w:jc w:val="center"/>
              <w:rPr>
                <w:rFonts w:eastAsia="Calibri"/>
              </w:rPr>
            </w:pPr>
            <w:r w:rsidRPr="00D62EB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368D58" w14:textId="77777777" w:rsidR="00950EA6" w:rsidRPr="00D62EBB" w:rsidRDefault="00950EA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Carcaça</w:t>
            </w:r>
          </w:p>
        </w:tc>
      </w:tr>
      <w:tr w:rsidR="00950EA6" w:rsidRPr="00D62EBB" w14:paraId="4E44CDE1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6CC458" w14:textId="77777777" w:rsidR="00950EA6" w:rsidRPr="00D62EBB" w:rsidRDefault="00950EA6" w:rsidP="00221FFE">
            <w:pPr>
              <w:spacing w:after="0"/>
              <w:jc w:val="center"/>
              <w:rPr>
                <w:rFonts w:eastAsia="Calibri"/>
              </w:rPr>
            </w:pPr>
            <w:r w:rsidRPr="00D62EBB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B533EA" w14:textId="77777777" w:rsidR="00950EA6" w:rsidRPr="00D62EBB" w:rsidRDefault="00950EA6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Cobertura do medidor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9590F1" w14:textId="77777777" w:rsidR="00950EA6" w:rsidRPr="00D62EBB" w:rsidRDefault="00950EA6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E64DD5" w14:textId="77777777" w:rsidR="00950EA6" w:rsidRPr="00D62EBB" w:rsidRDefault="00950EA6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3"/>
    </w:tbl>
    <w:p w14:paraId="409B00FD" w14:textId="77777777" w:rsidR="00950EA6" w:rsidRDefault="00950EA6" w:rsidP="00950EA6"/>
    <w:p w14:paraId="1581B1FE" w14:textId="77777777" w:rsidR="00950EA6" w:rsidRPr="00D62EBB" w:rsidRDefault="00950EA6" w:rsidP="00950EA6">
      <w:pPr>
        <w:rPr>
          <w:b/>
        </w:rPr>
      </w:pPr>
      <w:r w:rsidRPr="00D62EBB">
        <w:rPr>
          <w:b/>
        </w:rPr>
        <w:t>Funcionamento</w:t>
      </w:r>
    </w:p>
    <w:p w14:paraId="2B962D13" w14:textId="77777777" w:rsidR="00950EA6" w:rsidRDefault="00950EA6" w:rsidP="00950EA6">
      <w:r>
        <w:t>Os medidores de vazão registram na alimentação de fluídos o volume de fluídos por unidade de tempo (fluxo volumétrico).</w:t>
      </w:r>
    </w:p>
    <w:p w14:paraId="3B4BF68A" w14:textId="77777777" w:rsidR="00950EA6" w:rsidRDefault="00950EA6" w:rsidP="00950EA6">
      <w:r>
        <w:t xml:space="preserve">Com base na medição de vazão, o controle identifica e monitora os fluxos dependentes dos processos. 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50EA6" w:rsidRPr="00423AD7" w14:paraId="751B0121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C3DCE4B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  <w:bookmarkStart w:id="4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A1FFC00" w14:textId="77777777" w:rsidR="00950EA6" w:rsidRPr="001D1076" w:rsidRDefault="00950EA6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8133D14" w14:textId="77777777" w:rsidR="00950EA6" w:rsidRPr="00423AD7" w:rsidRDefault="00950EA6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50EA6" w:rsidRPr="00423AD7" w14:paraId="0A355DD7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807392A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16964A8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832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28C292" w14:textId="77777777" w:rsidR="00950EA6" w:rsidRPr="00065A41" w:rsidRDefault="00950EA6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065A41">
              <w:rPr>
                <w:rFonts w:eastAsia="Arial Unicode MS" w:cs="Times New Roman"/>
                <w:i/>
              </w:rPr>
              <w:t>No esquema de tubulação podem ser identificados dispositivos de medição com a legenda do fluxograma; veja capítulo “Dados técnicos”, item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BD2B5E" w14:textId="77777777" w:rsidR="00950EA6" w:rsidRPr="00423AD7" w:rsidRDefault="00950EA6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3C5DA66C" w14:textId="77777777" w:rsidR="00950EA6" w:rsidRDefault="00950EA6" w:rsidP="00950EA6"/>
    <w:p w14:paraId="332B18B3" w14:textId="3C3A9B12" w:rsidR="007A66B2" w:rsidRPr="00614D25" w:rsidRDefault="007A66B2" w:rsidP="00D339AF">
      <w:pPr>
        <w:spacing w:line="259" w:lineRule="auto"/>
        <w:jc w:val="left"/>
      </w:pPr>
    </w:p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8B0ED0" w14:textId="77777777" w:rsidR="005F6CFF" w:rsidRDefault="005F6CF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F6CFF">
      <w:trPr>
        <w:trHeight w:val="454"/>
      </w:trPr>
      <w:tc>
        <w:tcPr>
          <w:tcW w:w="2838" w:type="dxa"/>
          <w:vAlign w:val="center"/>
        </w:tcPr>
        <w:p w14:paraId="6016363D" w14:textId="596F4DF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F6CF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F6CF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E54FC" w14:textId="77777777" w:rsidR="005F6CFF" w:rsidRDefault="005F6C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EEF6D" w14:textId="77777777" w:rsidR="005F6CFF" w:rsidRDefault="005F6CF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F6CFF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F6CF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E25199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F6CF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B2C24" w14:textId="77777777" w:rsidR="005F6CFF" w:rsidRDefault="005F6CF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95DB0"/>
    <w:rsid w:val="003E0B3C"/>
    <w:rsid w:val="003F15D7"/>
    <w:rsid w:val="00414691"/>
    <w:rsid w:val="00423AD7"/>
    <w:rsid w:val="00433A3E"/>
    <w:rsid w:val="00445980"/>
    <w:rsid w:val="00460434"/>
    <w:rsid w:val="00461BB3"/>
    <w:rsid w:val="004A059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5F6CFF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0EA6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39AF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79D33-F54A-4DAF-BEDF-B9899940C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