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B1A6BC" w14:textId="77777777" w:rsidR="006B6369" w:rsidRDefault="006B6369" w:rsidP="006B6369">
      <w:pPr>
        <w:pStyle w:val="Ttulo2"/>
      </w:pPr>
      <w:bookmarkStart w:id="1" w:name="_Toc56067987"/>
      <w:bookmarkStart w:id="2" w:name="_Hlk59012318"/>
      <w:bookmarkStart w:id="3" w:name="_GoBack"/>
      <w:bookmarkEnd w:id="3"/>
      <w:r w:rsidRPr="00B1387E">
        <w:t>Tecnologia de regulagem</w:t>
      </w:r>
      <w:bookmarkEnd w:id="1"/>
    </w:p>
    <w:p w14:paraId="535676C0" w14:textId="77777777" w:rsidR="006B6369" w:rsidRDefault="006B6369" w:rsidP="006B6369">
      <w:pPr>
        <w:pStyle w:val="Ttulo3"/>
      </w:pPr>
      <w:bookmarkStart w:id="4" w:name="_Toc56067988"/>
      <w:r w:rsidRPr="00C87711">
        <w:t>Válvula reguladora de gás de pressurização</w:t>
      </w:r>
      <w:bookmarkEnd w:id="4"/>
    </w:p>
    <w:p w14:paraId="371698B7" w14:textId="77777777" w:rsidR="006B6369" w:rsidRPr="008C7CE4" w:rsidRDefault="006B6369" w:rsidP="006B6369">
      <w:pPr>
        <w:rPr>
          <w:b/>
        </w:rPr>
      </w:pPr>
      <w:r w:rsidRPr="008C7CE4">
        <w:rPr>
          <w:b/>
        </w:rPr>
        <w:t>Estrutura</w:t>
      </w:r>
    </w:p>
    <w:p w14:paraId="78ED6CB5" w14:textId="77777777" w:rsidR="006B6369" w:rsidRDefault="006B6369" w:rsidP="006B6369">
      <w:pPr>
        <w:keepNext/>
        <w:jc w:val="center"/>
      </w:pPr>
      <w:r>
        <w:rPr>
          <w:noProof/>
        </w:rPr>
        <w:drawing>
          <wp:inline distT="0" distB="0" distL="0" distR="0" wp14:anchorId="48AF6FEF" wp14:editId="0D66114C">
            <wp:extent cx="2952115" cy="3485515"/>
            <wp:effectExtent l="0" t="0" r="635" b="635"/>
            <wp:docPr id="949349" name="Imagem 949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115" cy="3485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705FDA" w14:textId="77777777" w:rsidR="006B6369" w:rsidRDefault="006B6369" w:rsidP="006B6369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1E5270">
        <w:fldChar w:fldCharType="begin"/>
      </w:r>
      <w:r w:rsidR="001E5270">
        <w:instrText xml:space="preserve"> SEQ Figura \* ARABIC \s 1 </w:instrText>
      </w:r>
      <w:r w:rsidR="001E5270">
        <w:fldChar w:fldCharType="separate"/>
      </w:r>
      <w:r>
        <w:rPr>
          <w:noProof/>
        </w:rPr>
        <w:t>1</w:t>
      </w:r>
      <w:r w:rsidR="001E5270">
        <w:rPr>
          <w:noProof/>
        </w:rPr>
        <w:fldChar w:fldCharType="end"/>
      </w:r>
      <w:r w:rsidRPr="00EF6F71">
        <w:t>: Manifold de válvulas (exemplo)</w:t>
      </w:r>
    </w:p>
    <w:tbl>
      <w:tblPr>
        <w:tblW w:w="850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32"/>
        <w:gridCol w:w="3817"/>
        <w:gridCol w:w="632"/>
        <w:gridCol w:w="3424"/>
      </w:tblGrid>
      <w:tr w:rsidR="006B6369" w:rsidRPr="00D62EBB" w14:paraId="74D57152" w14:textId="77777777" w:rsidTr="00E9330E">
        <w:trPr>
          <w:trHeight w:val="510"/>
          <w:jc w:val="center"/>
        </w:trPr>
        <w:tc>
          <w:tcPr>
            <w:tcW w:w="63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D1A1107" w14:textId="77777777" w:rsidR="006B6369" w:rsidRPr="00D62EBB" w:rsidRDefault="006B6369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5" w:name="_Hlk56007757"/>
            <w:r w:rsidRPr="00D62EBB">
              <w:rPr>
                <w:rFonts w:eastAsia="Calibri"/>
                <w:b/>
              </w:rPr>
              <w:t>Nº</w:t>
            </w:r>
          </w:p>
        </w:tc>
        <w:tc>
          <w:tcPr>
            <w:tcW w:w="387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C0C036C" w14:textId="77777777" w:rsidR="006B6369" w:rsidRPr="00D62EBB" w:rsidRDefault="006B6369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D62EBB">
              <w:rPr>
                <w:rFonts w:eastAsia="Calibri"/>
                <w:b/>
              </w:rPr>
              <w:t>Descrição</w:t>
            </w:r>
          </w:p>
        </w:tc>
        <w:tc>
          <w:tcPr>
            <w:tcW w:w="63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3EC23D1" w14:textId="77777777" w:rsidR="006B6369" w:rsidRPr="00D62EBB" w:rsidRDefault="006B6369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D62EBB">
              <w:rPr>
                <w:rFonts w:eastAsia="Calibri"/>
                <w:b/>
              </w:rPr>
              <w:t>Nº</w:t>
            </w:r>
          </w:p>
        </w:tc>
        <w:tc>
          <w:tcPr>
            <w:tcW w:w="347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527041B" w14:textId="77777777" w:rsidR="006B6369" w:rsidRPr="00D62EBB" w:rsidRDefault="006B6369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D62EBB">
              <w:rPr>
                <w:rFonts w:eastAsia="Calibri"/>
                <w:b/>
              </w:rPr>
              <w:t>Descrição</w:t>
            </w:r>
          </w:p>
        </w:tc>
      </w:tr>
      <w:tr w:rsidR="006B6369" w:rsidRPr="00D62EBB" w14:paraId="31B199C4" w14:textId="77777777" w:rsidTr="00E9330E">
        <w:trPr>
          <w:trHeight w:val="801"/>
          <w:jc w:val="center"/>
        </w:trPr>
        <w:tc>
          <w:tcPr>
            <w:tcW w:w="63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695E2F" w14:textId="77777777" w:rsidR="006B6369" w:rsidRPr="00D62EBB" w:rsidRDefault="006B6369" w:rsidP="00221FFE">
            <w:pPr>
              <w:spacing w:after="0"/>
              <w:jc w:val="center"/>
              <w:rPr>
                <w:rFonts w:eastAsia="Calibri"/>
              </w:rPr>
            </w:pPr>
            <w:r w:rsidRPr="00D62EBB">
              <w:rPr>
                <w:rFonts w:eastAsia="Calibri"/>
              </w:rPr>
              <w:t>1</w:t>
            </w:r>
          </w:p>
        </w:tc>
        <w:tc>
          <w:tcPr>
            <w:tcW w:w="387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4F139B" w14:textId="77777777" w:rsidR="006B6369" w:rsidRPr="00D62EBB" w:rsidRDefault="006B6369" w:rsidP="00221FFE">
            <w:pPr>
              <w:spacing w:after="0"/>
              <w:jc w:val="left"/>
              <w:rPr>
                <w:rFonts w:eastAsia="Calibri"/>
              </w:rPr>
            </w:pPr>
            <w:r w:rsidRPr="008C7CE4">
              <w:rPr>
                <w:rFonts w:eastAsia="Calibri"/>
              </w:rPr>
              <w:t>Válvula reguladora de gás de pressurização</w:t>
            </w:r>
          </w:p>
        </w:tc>
        <w:tc>
          <w:tcPr>
            <w:tcW w:w="63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AFF5AD" w14:textId="77777777" w:rsidR="006B6369" w:rsidRPr="00D62EBB" w:rsidRDefault="006B6369" w:rsidP="00221FFE">
            <w:pPr>
              <w:spacing w:after="0"/>
              <w:jc w:val="center"/>
              <w:rPr>
                <w:rFonts w:eastAsia="Calibri"/>
              </w:rPr>
            </w:pPr>
            <w:r w:rsidRPr="00D62EBB">
              <w:rPr>
                <w:rFonts w:eastAsia="Calibri"/>
              </w:rPr>
              <w:t>2</w:t>
            </w:r>
          </w:p>
        </w:tc>
        <w:tc>
          <w:tcPr>
            <w:tcW w:w="347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70DBEC" w14:textId="77777777" w:rsidR="006B6369" w:rsidRPr="00D62EBB" w:rsidRDefault="006B6369" w:rsidP="00221FFE">
            <w:pPr>
              <w:spacing w:after="0"/>
              <w:jc w:val="left"/>
              <w:rPr>
                <w:rFonts w:eastAsia="Calibri"/>
              </w:rPr>
            </w:pPr>
            <w:r w:rsidRPr="008C7CE4">
              <w:rPr>
                <w:rFonts w:eastAsia="Calibri" w:cs="Times New Roman"/>
                <w:lang w:val="es-CL"/>
              </w:rPr>
              <w:t>Sensor de pressão</w:t>
            </w:r>
          </w:p>
        </w:tc>
      </w:tr>
      <w:tr w:rsidR="006B6369" w:rsidRPr="00D62EBB" w14:paraId="18CE750C" w14:textId="77777777" w:rsidTr="00E9330E">
        <w:trPr>
          <w:trHeight w:val="510"/>
          <w:jc w:val="center"/>
        </w:trPr>
        <w:tc>
          <w:tcPr>
            <w:tcW w:w="63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564D46A" w14:textId="77777777" w:rsidR="006B6369" w:rsidRPr="00D62EBB" w:rsidRDefault="006B6369" w:rsidP="00221FFE">
            <w:pPr>
              <w:spacing w:after="0"/>
              <w:jc w:val="center"/>
              <w:rPr>
                <w:rFonts w:eastAsia="Calibri"/>
              </w:rPr>
            </w:pPr>
            <w:r w:rsidRPr="00D62EBB">
              <w:rPr>
                <w:rFonts w:eastAsia="Calibri"/>
              </w:rPr>
              <w:t>3</w:t>
            </w:r>
          </w:p>
        </w:tc>
        <w:tc>
          <w:tcPr>
            <w:tcW w:w="387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35A2AE" w14:textId="77777777" w:rsidR="006B6369" w:rsidRPr="00D62EBB" w:rsidRDefault="006B6369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 w:rsidRPr="008C7CE4">
              <w:rPr>
                <w:rFonts w:eastAsia="Calibri"/>
              </w:rPr>
              <w:t>Válvula de alívio</w:t>
            </w:r>
          </w:p>
        </w:tc>
        <w:tc>
          <w:tcPr>
            <w:tcW w:w="63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CAE9B38" w14:textId="77777777" w:rsidR="006B6369" w:rsidRPr="00D62EBB" w:rsidRDefault="006B6369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47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857B0D" w14:textId="77777777" w:rsidR="006B6369" w:rsidRPr="00D62EBB" w:rsidRDefault="006B6369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</w:p>
        </w:tc>
      </w:tr>
      <w:bookmarkEnd w:id="5"/>
    </w:tbl>
    <w:p w14:paraId="436D003C" w14:textId="77777777" w:rsidR="006B6369" w:rsidRDefault="006B6369" w:rsidP="006B6369"/>
    <w:p w14:paraId="47AEE473" w14:textId="77777777" w:rsidR="006B6369" w:rsidRDefault="006B6369" w:rsidP="006B6369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B7EE3C6" w14:textId="77777777" w:rsidR="006B6369" w:rsidRPr="008C7CE4" w:rsidRDefault="006B6369" w:rsidP="006B6369">
      <w:pPr>
        <w:rPr>
          <w:b/>
        </w:rPr>
      </w:pPr>
      <w:r w:rsidRPr="008C7CE4">
        <w:rPr>
          <w:b/>
        </w:rPr>
        <w:lastRenderedPageBreak/>
        <w:t>Funcionamento</w:t>
      </w:r>
    </w:p>
    <w:p w14:paraId="6DF4EE28" w14:textId="77777777" w:rsidR="006B6369" w:rsidRDefault="006B6369" w:rsidP="006B6369">
      <w:r>
        <w:t>A regulagem do gás de pressurização tem a tarefa de manter constante a pressão de enchimento no recipiente tubular. O recipiente tubular é pressurizado com gás. Os gases de pressurização utilizados são ar estéril, CO2 ou N2. Estes gases também podem ser usados em misturas. O gás de pressurização utilizado na produção consta nos parâmetros de tipos.</w:t>
      </w:r>
    </w:p>
    <w:p w14:paraId="68615C74" w14:textId="77777777" w:rsidR="006B6369" w:rsidRDefault="006B6369" w:rsidP="006B6369">
      <w:r>
        <w:t xml:space="preserve">A pressão de enchimento existente (valor real) é medida através do sensor de pressão na tubulação de gás de pressurização e transferida para o comando da máquina. </w:t>
      </w:r>
    </w:p>
    <w:p w14:paraId="7A24CBF1" w14:textId="77777777" w:rsidR="006B6369" w:rsidRDefault="006B6369" w:rsidP="006B6369">
      <w:r>
        <w:t>A pressão de enchimento desejada (valor nominal) consta no parâmetro de tipos. Os parâmetros de tipos são carregados automaticamente mediante a seleção do tipo no painel de controle. Dependendo da diferença entre os valores real e nominal, a válvula reguladora do gás de pressurização ajusta a pressão de envase no recipiente tubular. O excesso de gás flui para fora através da válvula de alívio.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B6369" w:rsidRPr="00423AD7" w14:paraId="66DAF462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0B0DBC7" w14:textId="77777777" w:rsidR="006B6369" w:rsidRPr="00423AD7" w:rsidRDefault="006B6369" w:rsidP="00221FFE">
            <w:pPr>
              <w:jc w:val="center"/>
              <w:rPr>
                <w:rFonts w:eastAsia="Arial Unicode MS"/>
              </w:rPr>
            </w:pPr>
            <w:bookmarkStart w:id="6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4BEC4B9E" w14:textId="77777777" w:rsidR="006B6369" w:rsidRPr="001D1076" w:rsidRDefault="006B6369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31DBCA6" w14:textId="77777777" w:rsidR="006B6369" w:rsidRPr="00423AD7" w:rsidRDefault="006B6369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B6369" w:rsidRPr="00423AD7" w14:paraId="64D5D374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8DE49C3" w14:textId="77777777" w:rsidR="006B6369" w:rsidRPr="00423AD7" w:rsidRDefault="006B6369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494177A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9868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2C0A8D7" w14:textId="77777777" w:rsidR="006B6369" w:rsidRPr="001332E1" w:rsidRDefault="006B6369" w:rsidP="00221FFE">
            <w:pPr>
              <w:ind w:right="175"/>
              <w:rPr>
                <w:rFonts w:eastAsia="Arial Unicode MS"/>
                <w:i/>
              </w:rPr>
            </w:pPr>
            <w:r w:rsidRPr="001332E1">
              <w:rPr>
                <w:rFonts w:eastAsia="Arial Unicode MS" w:cs="Times New Roman"/>
                <w:i/>
              </w:rPr>
              <w:t>A pressão de enchimento nominal é de 1-1,5 bar acima da pressão de saturação da bebida e é especificada na folha de dados de enchimento. Isso consta do capítulo “Dados técnicos”, seção “Operação”. O valor para a pressão de enchimento nominal pode ser alterado no painel de controle.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41A0245" w14:textId="77777777" w:rsidR="006B6369" w:rsidRPr="00423AD7" w:rsidRDefault="006B6369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  <w:bookmarkEnd w:id="6"/>
    </w:tbl>
    <w:p w14:paraId="7A1DF76F" w14:textId="77777777" w:rsidR="006B6369" w:rsidRDefault="006B6369" w:rsidP="006B6369"/>
    <w:p w14:paraId="6AAA458C" w14:textId="77777777" w:rsidR="006B6369" w:rsidRDefault="006B6369" w:rsidP="006B6369">
      <w:pPr>
        <w:spacing w:line="259" w:lineRule="auto"/>
        <w:jc w:val="left"/>
      </w:pPr>
      <w:r>
        <w:br w:type="page"/>
      </w:r>
    </w:p>
    <w:p w14:paraId="213AFF2D" w14:textId="77777777" w:rsidR="006B6369" w:rsidRDefault="006B6369" w:rsidP="006B6369">
      <w:pPr>
        <w:pStyle w:val="Ttulo3"/>
      </w:pPr>
      <w:bookmarkStart w:id="7" w:name="_Toc56067989"/>
      <w:bookmarkStart w:id="8" w:name="_Hlk59012430"/>
      <w:r w:rsidRPr="008C7CE4">
        <w:lastRenderedPageBreak/>
        <w:t>Válvula de reguladora de produto</w:t>
      </w:r>
      <w:bookmarkEnd w:id="7"/>
    </w:p>
    <w:p w14:paraId="6F5C29BA" w14:textId="77777777" w:rsidR="006B6369" w:rsidRPr="008C7CE4" w:rsidRDefault="006B6369" w:rsidP="006B6369">
      <w:pPr>
        <w:rPr>
          <w:b/>
        </w:rPr>
      </w:pPr>
      <w:r w:rsidRPr="008C7CE4">
        <w:rPr>
          <w:b/>
        </w:rPr>
        <w:t>Estrutura</w:t>
      </w:r>
    </w:p>
    <w:p w14:paraId="3DB9B03E" w14:textId="77777777" w:rsidR="006B6369" w:rsidRDefault="006B6369" w:rsidP="006B6369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FB2528C" wp14:editId="171598B5">
            <wp:extent cx="3056890" cy="3256915"/>
            <wp:effectExtent l="0" t="0" r="0" b="635"/>
            <wp:docPr id="949350" name="Imagem 949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890" cy="325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AB151D" w14:textId="77777777" w:rsidR="006B6369" w:rsidRDefault="006B6369" w:rsidP="006B6369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1E5270">
        <w:fldChar w:fldCharType="begin"/>
      </w:r>
      <w:r w:rsidR="001E5270">
        <w:instrText xml:space="preserve"> SEQ Figura \* ARABIC \s 1 </w:instrText>
      </w:r>
      <w:r w:rsidR="001E5270">
        <w:fldChar w:fldCharType="separate"/>
      </w:r>
      <w:r>
        <w:rPr>
          <w:noProof/>
        </w:rPr>
        <w:t>1</w:t>
      </w:r>
      <w:r w:rsidR="001E5270">
        <w:rPr>
          <w:noProof/>
        </w:rPr>
        <w:fldChar w:fldCharType="end"/>
      </w:r>
      <w:r w:rsidRPr="0078470E">
        <w:t>: Manifold de válvulas (exemplo)</w:t>
      </w:r>
    </w:p>
    <w:p w14:paraId="1955C42B" w14:textId="77777777" w:rsidR="006B6369" w:rsidRPr="008C7CE4" w:rsidRDefault="006B6369" w:rsidP="006B6369">
      <w:pPr>
        <w:rPr>
          <w:b/>
        </w:rPr>
      </w:pPr>
      <w:r w:rsidRPr="008C7CE4">
        <w:rPr>
          <w:b/>
        </w:rPr>
        <w:t xml:space="preserve">Funcionamento </w:t>
      </w:r>
    </w:p>
    <w:p w14:paraId="0A5355CE" w14:textId="77777777" w:rsidR="006B6369" w:rsidRDefault="006B6369" w:rsidP="006B6369">
      <w:r>
        <w:t>A regulagem do nível de produto tem o objetivo de manter constante o nível de enchimento no recipiente tubular. O nível de enchimento no recipiente influencia a velocidade e a precisão do envase. Uma velocidade de envase uniforme é determinante para a precisão do nível de envase.</w:t>
      </w:r>
    </w:p>
    <w:p w14:paraId="3A0F6B72" w14:textId="77777777" w:rsidR="006B6369" w:rsidRDefault="006B6369" w:rsidP="006B6369">
      <w:r>
        <w:t>O nível de produto desejado no recipiente (valor nominal) consta no parâmetro de tipos. Os parâmetros de tipos são carregados automaticamente mediante a seleção do tipo no painel de controle. O nível de produto existente no recipiente é medido com várias sondas. A média de valores é calculada e transferida para a válvula de controle do produto como uma grandeza do regulador (valor real). Dependendo da diferença entre os valores real e nominal, a válvula de controle do produto integrada no comando da máquina regula o nível do produto no recipiente.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B6369" w:rsidRPr="00423AD7" w14:paraId="185E4D45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C99C34F" w14:textId="77777777" w:rsidR="006B6369" w:rsidRPr="00423AD7" w:rsidRDefault="006B6369" w:rsidP="00221FFE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1E6B82B" w14:textId="77777777" w:rsidR="006B6369" w:rsidRPr="001D1076" w:rsidRDefault="006B6369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B3416DE" w14:textId="77777777" w:rsidR="006B6369" w:rsidRPr="00423AD7" w:rsidRDefault="006B6369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B6369" w:rsidRPr="00423AD7" w14:paraId="4A61E91D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4C7050A" w14:textId="77777777" w:rsidR="006B6369" w:rsidRPr="00423AD7" w:rsidRDefault="006B6369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0558A0D">
                <v:shape id="_x0000_i1027" type="#_x0000_t75" style="width:20.25pt;height:31.5pt" o:ole="">
                  <v:imagedata r:id="rId9" o:title=""/>
                </v:shape>
                <o:OLEObject Type="Embed" ProgID="CorelPHOTOPAINT.Image.13" ShapeID="_x0000_i1027" DrawAspect="Content" ObjectID="_1719399869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2193A96" w14:textId="77777777" w:rsidR="006B6369" w:rsidRPr="002E0296" w:rsidRDefault="006B6369" w:rsidP="00221FFE">
            <w:pPr>
              <w:ind w:right="175"/>
              <w:rPr>
                <w:rFonts w:eastAsia="Arial Unicode MS"/>
                <w:i/>
              </w:rPr>
            </w:pPr>
            <w:r w:rsidRPr="002E0296">
              <w:rPr>
                <w:rFonts w:eastAsia="Arial Unicode MS" w:cs="Times New Roman"/>
                <w:i/>
              </w:rPr>
              <w:t>O nível nominal do produto na caldeira é especificado na folha de dados de enchimento. A folha de dados de enchimento consta do capítulo “Dados técnicos”, item “Operação”. O valor para o nível de produto nominal pode ser alterado no painel de controle.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CE939F9" w14:textId="77777777" w:rsidR="006B6369" w:rsidRPr="00423AD7" w:rsidRDefault="006B6369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2938C77E" w14:textId="77777777" w:rsidR="006B6369" w:rsidRDefault="006B6369" w:rsidP="006B6369">
      <w:pPr>
        <w:spacing w:line="259" w:lineRule="auto"/>
        <w:jc w:val="left"/>
      </w:pPr>
    </w:p>
    <w:p w14:paraId="0249EAF8" w14:textId="77777777" w:rsidR="006B6369" w:rsidRDefault="006B6369" w:rsidP="006B6369">
      <w:pPr>
        <w:spacing w:line="259" w:lineRule="auto"/>
        <w:jc w:val="left"/>
      </w:pPr>
      <w:r>
        <w:br w:type="page"/>
      </w:r>
    </w:p>
    <w:p w14:paraId="68C7D66D" w14:textId="77777777" w:rsidR="006B6369" w:rsidRDefault="006B6369" w:rsidP="006B6369">
      <w:pPr>
        <w:pStyle w:val="Ttulo2"/>
      </w:pPr>
      <w:bookmarkStart w:id="9" w:name="_Toc56067990"/>
      <w:r>
        <w:t>Sistema pneumático</w:t>
      </w:r>
      <w:bookmarkEnd w:id="9"/>
    </w:p>
    <w:p w14:paraId="557A057D" w14:textId="77777777" w:rsidR="006B6369" w:rsidRDefault="006B6369" w:rsidP="006B6369">
      <w:pPr>
        <w:pStyle w:val="Ttulo3"/>
      </w:pPr>
      <w:bookmarkStart w:id="10" w:name="_Toc56067991"/>
      <w:r w:rsidRPr="006E5BFA">
        <w:t>Ilhas de válvulas e alimentação de ar</w:t>
      </w:r>
      <w:bookmarkEnd w:id="10"/>
    </w:p>
    <w:p w14:paraId="453180D9" w14:textId="77777777" w:rsidR="006B6369" w:rsidRDefault="006B6369" w:rsidP="006B6369">
      <w:pPr>
        <w:keepNext/>
        <w:jc w:val="center"/>
      </w:pPr>
      <w:r>
        <w:rPr>
          <w:noProof/>
        </w:rPr>
        <w:drawing>
          <wp:inline distT="0" distB="0" distL="0" distR="0" wp14:anchorId="3290150C" wp14:editId="5C84372A">
            <wp:extent cx="4323715" cy="3837940"/>
            <wp:effectExtent l="0" t="0" r="635" b="0"/>
            <wp:docPr id="949351" name="Imagem 949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3837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28E904" w14:textId="77777777" w:rsidR="006B6369" w:rsidRDefault="006B6369" w:rsidP="006B6369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1E5270">
        <w:fldChar w:fldCharType="begin"/>
      </w:r>
      <w:r w:rsidR="001E5270">
        <w:instrText xml:space="preserve"> SEQ Figura \* ARABIC \s 1 </w:instrText>
      </w:r>
      <w:r w:rsidR="001E5270">
        <w:fldChar w:fldCharType="separate"/>
      </w:r>
      <w:r>
        <w:rPr>
          <w:noProof/>
        </w:rPr>
        <w:t>1</w:t>
      </w:r>
      <w:r w:rsidR="001E5270">
        <w:rPr>
          <w:noProof/>
        </w:rPr>
        <w:fldChar w:fldCharType="end"/>
      </w:r>
      <w:r w:rsidRPr="007C19FC">
        <w:t>: Ilhas de válvulas e alimentação de ar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6B6369" w:rsidRPr="006E5BFA" w14:paraId="5DC07B54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77FEC50" w14:textId="77777777" w:rsidR="006B6369" w:rsidRPr="006E5BFA" w:rsidRDefault="006B6369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11" w:name="_Hlk56009287"/>
            <w:r w:rsidRPr="006E5BFA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19972D6" w14:textId="77777777" w:rsidR="006B6369" w:rsidRPr="006E5BFA" w:rsidRDefault="006B6369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6E5BFA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6D730F2" w14:textId="77777777" w:rsidR="006B6369" w:rsidRPr="006E5BFA" w:rsidRDefault="006B6369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6E5BFA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87D660A" w14:textId="77777777" w:rsidR="006B6369" w:rsidRPr="006E5BFA" w:rsidRDefault="006B6369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6E5BFA">
              <w:rPr>
                <w:rFonts w:eastAsia="Calibri"/>
                <w:b/>
              </w:rPr>
              <w:t>Descrição</w:t>
            </w:r>
          </w:p>
        </w:tc>
      </w:tr>
      <w:tr w:rsidR="006B6369" w:rsidRPr="006E5BFA" w14:paraId="7391DE3A" w14:textId="77777777" w:rsidTr="00E9330E">
        <w:trPr>
          <w:trHeight w:val="68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481C5C" w14:textId="77777777" w:rsidR="006B6369" w:rsidRPr="006E5BFA" w:rsidRDefault="006B6369" w:rsidP="00221FFE">
            <w:pPr>
              <w:spacing w:after="0"/>
              <w:jc w:val="center"/>
              <w:rPr>
                <w:rFonts w:eastAsia="Calibri"/>
              </w:rPr>
            </w:pPr>
            <w:r w:rsidRPr="006E5BFA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574BCE8" w14:textId="77777777" w:rsidR="006B6369" w:rsidRPr="006E5BFA" w:rsidRDefault="006B6369" w:rsidP="00221FFE">
            <w:pPr>
              <w:spacing w:after="0"/>
              <w:jc w:val="left"/>
              <w:rPr>
                <w:rFonts w:eastAsia="Calibri"/>
              </w:rPr>
            </w:pPr>
            <w:r w:rsidRPr="006E5BFA">
              <w:rPr>
                <w:rFonts w:eastAsia="Calibri"/>
              </w:rPr>
              <w:t>Distribuidor rotativo de ar e energia elétrica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A7FCEB2" w14:textId="77777777" w:rsidR="006B6369" w:rsidRPr="006E5BFA" w:rsidRDefault="006B6369" w:rsidP="00221FFE">
            <w:pPr>
              <w:spacing w:after="0"/>
              <w:jc w:val="center"/>
              <w:rPr>
                <w:rFonts w:eastAsia="Calibri"/>
              </w:rPr>
            </w:pPr>
            <w:r w:rsidRPr="006E5BFA"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4296844" w14:textId="77777777" w:rsidR="006B6369" w:rsidRPr="006E5BFA" w:rsidRDefault="006B6369" w:rsidP="00221FFE">
            <w:pPr>
              <w:spacing w:after="0"/>
              <w:jc w:val="left"/>
              <w:rPr>
                <w:rFonts w:eastAsia="Calibri"/>
              </w:rPr>
            </w:pPr>
            <w:r w:rsidRPr="006E5BFA">
              <w:rPr>
                <w:rFonts w:eastAsia="Calibri" w:cs="Times New Roman"/>
                <w:lang w:val="es-CL"/>
              </w:rPr>
              <w:t>Painel pneumático</w:t>
            </w:r>
          </w:p>
        </w:tc>
      </w:tr>
      <w:tr w:rsidR="006B6369" w:rsidRPr="006E5BFA" w14:paraId="7FB1E0AA" w14:textId="77777777" w:rsidTr="00E9330E">
        <w:trPr>
          <w:trHeight w:val="68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075C12" w14:textId="77777777" w:rsidR="006B6369" w:rsidRPr="006E5BFA" w:rsidRDefault="006B6369" w:rsidP="00221FFE">
            <w:pPr>
              <w:spacing w:after="0"/>
              <w:jc w:val="center"/>
              <w:rPr>
                <w:rFonts w:eastAsia="Calibri"/>
              </w:rPr>
            </w:pPr>
            <w:r w:rsidRPr="006E5BFA"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63E1E6" w14:textId="77777777" w:rsidR="006B6369" w:rsidRPr="006E5BFA" w:rsidRDefault="006B6369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 w:rsidRPr="006E5BFA">
              <w:rPr>
                <w:rFonts w:eastAsia="Calibri"/>
              </w:rPr>
              <w:t>Ilha de válvulas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DE19B6" w14:textId="77777777" w:rsidR="006B6369" w:rsidRPr="006E5BFA" w:rsidRDefault="006B6369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8D16D6" w14:textId="0A2999CD" w:rsidR="006B6369" w:rsidRPr="00616D1E" w:rsidRDefault="006B6369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616D1E">
              <w:rPr>
                <w:rFonts w:eastAsia="Calibri" w:cs="Times New Roman"/>
              </w:rPr>
              <w:t>Anel de abastecimento de ar na</w:t>
            </w:r>
            <w:r w:rsidR="00E9330E">
              <w:rPr>
                <w:rFonts w:eastAsia="Calibri" w:cs="Times New Roman"/>
              </w:rPr>
              <w:t xml:space="preserve"> </w:t>
            </w:r>
            <w:r w:rsidRPr="00616D1E">
              <w:rPr>
                <w:rFonts w:eastAsia="Calibri" w:cs="Times New Roman"/>
              </w:rPr>
              <w:t xml:space="preserve">parte superior da </w:t>
            </w:r>
            <w:r>
              <w:rPr>
                <w:rFonts w:eastAsia="Calibri" w:cs="Times New Roman"/>
              </w:rPr>
              <w:t>envasadora</w:t>
            </w:r>
          </w:p>
        </w:tc>
      </w:tr>
      <w:bookmarkEnd w:id="11"/>
    </w:tbl>
    <w:p w14:paraId="6604D131" w14:textId="77777777" w:rsidR="006B6369" w:rsidRDefault="006B6369" w:rsidP="006B6369"/>
    <w:p w14:paraId="61DA3351" w14:textId="77777777" w:rsidR="006B6369" w:rsidRDefault="006B6369" w:rsidP="006B6369">
      <w:pPr>
        <w:spacing w:line="259" w:lineRule="auto"/>
        <w:jc w:val="left"/>
      </w:pPr>
      <w:r>
        <w:br w:type="page"/>
      </w:r>
    </w:p>
    <w:p w14:paraId="0AEFA78F" w14:textId="77777777" w:rsidR="006B6369" w:rsidRPr="00222E1B" w:rsidRDefault="006B6369" w:rsidP="006B6369">
      <w:pPr>
        <w:rPr>
          <w:b/>
          <w:bCs/>
        </w:rPr>
      </w:pPr>
      <w:r w:rsidRPr="00222E1B">
        <w:rPr>
          <w:b/>
          <w:bCs/>
        </w:rPr>
        <w:t xml:space="preserve"> </w:t>
      </w:r>
      <w:bookmarkStart w:id="12" w:name="_Toc56067992"/>
      <w:r w:rsidRPr="00222E1B">
        <w:rPr>
          <w:b/>
          <w:bCs/>
        </w:rPr>
        <w:t>Alimentação de ar</w:t>
      </w:r>
      <w:bookmarkEnd w:id="12"/>
    </w:p>
    <w:p w14:paraId="26FBD977" w14:textId="77777777" w:rsidR="006B6369" w:rsidRDefault="006B6369" w:rsidP="006B6369">
      <w:r w:rsidRPr="007121C2">
        <w:t>O ar de comando (pressão da rede) da unidade de manutenção alimenta a caixa pneumática através do distribuidor rotativo.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B6369" w:rsidRPr="00423AD7" w14:paraId="4098710B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6D26CC5" w14:textId="77777777" w:rsidR="006B6369" w:rsidRPr="00423AD7" w:rsidRDefault="006B6369" w:rsidP="00221FFE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1A3806E" w14:textId="77777777" w:rsidR="006B6369" w:rsidRPr="001D1076" w:rsidRDefault="006B6369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882E503" w14:textId="77777777" w:rsidR="006B6369" w:rsidRPr="00423AD7" w:rsidRDefault="006B6369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B6369" w:rsidRPr="00423AD7" w14:paraId="482D2C89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3357B61" w14:textId="77777777" w:rsidR="006B6369" w:rsidRPr="00423AD7" w:rsidRDefault="006B6369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6C9DC952">
                <v:shape id="_x0000_i1028" type="#_x0000_t75" style="width:20.25pt;height:31.5pt" o:ole="">
                  <v:imagedata r:id="rId9" o:title=""/>
                </v:shape>
                <o:OLEObject Type="Embed" ProgID="CorelPHOTOPAINT.Image.13" ShapeID="_x0000_i1028" DrawAspect="Content" ObjectID="_1719399870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5CAFD8D" w14:textId="77777777" w:rsidR="006B6369" w:rsidRPr="00114F30" w:rsidRDefault="006B6369" w:rsidP="00221FFE">
            <w:pPr>
              <w:ind w:right="175"/>
              <w:rPr>
                <w:rFonts w:eastAsia="Arial Unicode MS"/>
                <w:i/>
              </w:rPr>
            </w:pPr>
            <w:r w:rsidRPr="00114F30">
              <w:rPr>
                <w:rFonts w:eastAsia="Arial Unicode MS" w:cs="Times New Roman"/>
                <w:i/>
              </w:rPr>
              <w:t>Se a pressão da alimentação de ar no painel pneumático ficar abaixo de 5,5 bar, depois de um tempo fixo configurado, a trava de latas é fechada e aparecerá um aviso de falha no painel de comando. Se dentro de outro período de tempo fixo ajustado a pressão do ar não voltar a pelo menos 5,5 bar com o fechamento do sistema de trava de latas, então a alimentação de ar para o controle das válvulas de enchimento é fechada, para proteção dos componentes pneumáticos.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76DBE5F" w14:textId="77777777" w:rsidR="006B6369" w:rsidRPr="00423AD7" w:rsidRDefault="006B6369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8125E83" w14:textId="77777777" w:rsidR="006B6369" w:rsidRDefault="006B6369" w:rsidP="006B6369"/>
    <w:p w14:paraId="43C079CB" w14:textId="77777777" w:rsidR="006B6369" w:rsidRPr="00222E1B" w:rsidRDefault="006B6369" w:rsidP="006B6369">
      <w:pPr>
        <w:rPr>
          <w:b/>
          <w:bCs/>
        </w:rPr>
      </w:pPr>
      <w:bookmarkStart w:id="13" w:name="_Toc56067993"/>
      <w:r w:rsidRPr="00222E1B">
        <w:rPr>
          <w:b/>
          <w:bCs/>
        </w:rPr>
        <w:t>Controle da válvula de enchimento</w:t>
      </w:r>
      <w:bookmarkEnd w:id="13"/>
    </w:p>
    <w:p w14:paraId="4A0D2F0C" w14:textId="77777777" w:rsidR="006B6369" w:rsidRDefault="006B6369" w:rsidP="006B6369">
      <w:r w:rsidRPr="007121C2">
        <w:t>As válvulas das ilhas de válvulas abrem e fecham os cilindros de controle das válvulas de enchimento. O controle da máquina aciona el</w:t>
      </w:r>
      <w:r>
        <w:t>e</w:t>
      </w:r>
      <w:r w:rsidRPr="007121C2">
        <w:t>tricamente as válvulas de controle. As ilhas de válvulas são alimentadas com uma pressão pré-definida no comando da máquina através da unidade de comando do painel pneumático e do anel de alimentação de ar.</w:t>
      </w:r>
    </w:p>
    <w:p w14:paraId="76D2B214" w14:textId="77777777" w:rsidR="006B6369" w:rsidRDefault="006B6369" w:rsidP="006B6369"/>
    <w:p w14:paraId="0C06977D" w14:textId="77777777" w:rsidR="006B6369" w:rsidRPr="00222E1B" w:rsidRDefault="006B6369" w:rsidP="006B6369">
      <w:pPr>
        <w:rPr>
          <w:b/>
          <w:bCs/>
        </w:rPr>
      </w:pPr>
      <w:bookmarkStart w:id="14" w:name="_Toc56067994"/>
      <w:r w:rsidRPr="00222E1B">
        <w:rPr>
          <w:b/>
          <w:bCs/>
        </w:rPr>
        <w:t>Controle das tulipas de centragem</w:t>
      </w:r>
      <w:bookmarkEnd w:id="14"/>
    </w:p>
    <w:p w14:paraId="73EE5160" w14:textId="77777777" w:rsidR="006B6369" w:rsidRDefault="006B6369" w:rsidP="006B6369">
      <w:r>
        <w:t>No painel pneumático também está a unidade de controle para pressionar as tulipas de centragem sobre a lata e o dispositivo para levantar as tulipas.</w:t>
      </w:r>
    </w:p>
    <w:p w14:paraId="18B4CE35" w14:textId="77777777" w:rsidR="006B6369" w:rsidRDefault="006B6369" w:rsidP="006B6369">
      <w:r>
        <w:t>O ar para acionar a tulipas na válvula de enchimento é alimentado através das ligações no distribuidor rotativo.</w:t>
      </w:r>
    </w:p>
    <w:p w14:paraId="6B578451" w14:textId="77777777" w:rsidR="006B6369" w:rsidRDefault="006B6369" w:rsidP="006B6369">
      <w:r>
        <w:t xml:space="preserve">Durante a produção as tulipas são pressionadas sobre a lata com uma pressão ajustável. A pressão depende do </w:t>
      </w:r>
      <w:r w:rsidRPr="0062401E">
        <w:rPr>
          <w:i/>
          <w:iCs/>
        </w:rPr>
        <w:t>finish</w:t>
      </w:r>
      <w:r>
        <w:t xml:space="preserve"> da lata.</w:t>
      </w:r>
    </w:p>
    <w:p w14:paraId="177C190E" w14:textId="77777777" w:rsidR="006B6369" w:rsidRDefault="006B6369" w:rsidP="006B6369">
      <w:r>
        <w:t>O ajuste é feito através das teclas de função no painel de controle.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B6369" w:rsidRPr="00423AD7" w14:paraId="1B4DFC8F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ED9EADB" w14:textId="77777777" w:rsidR="006B6369" w:rsidRPr="00423AD7" w:rsidRDefault="006B6369" w:rsidP="00221FFE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91392F2" w14:textId="77777777" w:rsidR="006B6369" w:rsidRPr="001D1076" w:rsidRDefault="006B6369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EF94161" w14:textId="77777777" w:rsidR="006B6369" w:rsidRPr="00423AD7" w:rsidRDefault="006B6369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B6369" w:rsidRPr="00423AD7" w14:paraId="0202E0B0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9DEB705" w14:textId="77777777" w:rsidR="006B6369" w:rsidRPr="00423AD7" w:rsidRDefault="006B6369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C413C42">
                <v:shape id="_x0000_i1029" type="#_x0000_t75" style="width:20.25pt;height:31.5pt" o:ole="">
                  <v:imagedata r:id="rId9" o:title=""/>
                </v:shape>
                <o:OLEObject Type="Embed" ProgID="CorelPHOTOPAINT.Image.13" ShapeID="_x0000_i1029" DrawAspect="Content" ObjectID="_1719399871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01FEFB8" w14:textId="77777777" w:rsidR="006B6369" w:rsidRPr="00114F30" w:rsidRDefault="006B6369" w:rsidP="00221FFE">
            <w:pPr>
              <w:spacing w:after="0"/>
              <w:ind w:right="175"/>
              <w:rPr>
                <w:rFonts w:eastAsia="Arial Unicode MS"/>
                <w:i/>
              </w:rPr>
            </w:pPr>
            <w:r w:rsidRPr="00114F30">
              <w:rPr>
                <w:rFonts w:eastAsia="Arial Unicode MS" w:cs="Times New Roman"/>
                <w:i/>
              </w:rPr>
              <w:t>O levantamento e a descida das tulipas de centragem são executados somente com o revestimento da máquina fechado.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43C2276" w14:textId="77777777" w:rsidR="006B6369" w:rsidRPr="00423AD7" w:rsidRDefault="006B6369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3726EEB" w14:textId="77777777" w:rsidR="006B6369" w:rsidRDefault="006B6369" w:rsidP="006B6369"/>
    <w:p w14:paraId="181602F2" w14:textId="77777777" w:rsidR="006B6369" w:rsidRDefault="006B6369" w:rsidP="006B6369">
      <w:r w:rsidRPr="007121C2">
        <w:t>As tulipas de centragem estarão sem pressão na parte inferior e superior durante a limpeza. Se o processo de enchimento for interrompido durante a produção, a pressão das tulipas diminuirá após um certo tempo.</w:t>
      </w:r>
    </w:p>
    <w:p w14:paraId="1F7BB2AA" w14:textId="77777777" w:rsidR="006B6369" w:rsidRDefault="006B6369" w:rsidP="006B6369"/>
    <w:p w14:paraId="6781F8CD" w14:textId="77777777" w:rsidR="006B6369" w:rsidRDefault="006B6369" w:rsidP="006B6369">
      <w:pPr>
        <w:pStyle w:val="Ttulo3"/>
      </w:pPr>
      <w:r>
        <w:t xml:space="preserve"> </w:t>
      </w:r>
      <w:bookmarkStart w:id="15" w:name="_Toc56067995"/>
      <w:r w:rsidRPr="007121C2">
        <w:t>Diagrama de conexão das ilhas de válvulas</w:t>
      </w:r>
      <w:bookmarkEnd w:id="15"/>
    </w:p>
    <w:p w14:paraId="0032B089" w14:textId="77777777" w:rsidR="006B6369" w:rsidRDefault="006B6369" w:rsidP="006B6369">
      <w:r>
        <w:t>O diagrama de conexão é colado no interior da porta do armário eletrônico na parte superior da envasadora. Além disso, o diagrama de conexão pode ser encontrado na lista de peças de reposição.</w:t>
      </w:r>
    </w:p>
    <w:p w14:paraId="33AB2600" w14:textId="77777777" w:rsidR="006B6369" w:rsidRDefault="006B6369" w:rsidP="006B6369">
      <w:r>
        <w:t>As ilhas de válvulas na parte superior da envasadora são necessárias para acionar os cilindros das válvulas de enchimento. Em cada ilha de válvulas podem ser ligadas várias válvulas de enchimento.</w:t>
      </w:r>
    </w:p>
    <w:p w14:paraId="47DDAA9D" w14:textId="77777777" w:rsidR="006B6369" w:rsidRDefault="006B6369" w:rsidP="006B6369"/>
    <w:p w14:paraId="1DE71E62" w14:textId="77777777" w:rsidR="006B6369" w:rsidRPr="007121C2" w:rsidRDefault="006B6369" w:rsidP="006B6369">
      <w:pPr>
        <w:rPr>
          <w:b/>
        </w:rPr>
      </w:pPr>
      <w:r w:rsidRPr="007121C2">
        <w:rPr>
          <w:b/>
        </w:rPr>
        <w:t>Legenda do diagrama de ligação</w:t>
      </w:r>
    </w:p>
    <w:p w14:paraId="468544CE" w14:textId="77777777" w:rsidR="006B6369" w:rsidRPr="00C003F2" w:rsidRDefault="006B6369" w:rsidP="006B6369">
      <w:pPr>
        <w:rPr>
          <w:b/>
        </w:rPr>
      </w:pPr>
      <w:r w:rsidRPr="00C003F2">
        <w:rPr>
          <w:b/>
        </w:rPr>
        <w:t>Ocupação</w:t>
      </w:r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1843"/>
        <w:gridCol w:w="6662"/>
      </w:tblGrid>
      <w:tr w:rsidR="006B6369" w:rsidRPr="007121C2" w14:paraId="475D6D6F" w14:textId="77777777" w:rsidTr="00221FFE">
        <w:tc>
          <w:tcPr>
            <w:tcW w:w="18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01AD7D50" w14:textId="77777777" w:rsidR="006B6369" w:rsidRPr="007121C2" w:rsidRDefault="006B6369" w:rsidP="00221FFE">
            <w:pPr>
              <w:spacing w:after="120" w:line="240" w:lineRule="auto"/>
              <w:jc w:val="left"/>
              <w:rPr>
                <w:rFonts w:ascii="Helv" w:eastAsia="Times New Roman" w:hAnsi="Helv" w:cs="Helv"/>
                <w:noProof/>
                <w:szCs w:val="20"/>
                <w:lang w:eastAsia="pt-BR"/>
              </w:rPr>
            </w:pPr>
            <w:r w:rsidRPr="007121C2">
              <w:rPr>
                <w:rFonts w:ascii="Helv" w:eastAsia="Times New Roman" w:hAnsi="Helv" w:cs="Helv"/>
                <w:noProof/>
                <w:szCs w:val="20"/>
                <w:lang w:eastAsia="pt-BR"/>
              </w:rPr>
              <w:t>KH1 - KH......</w:t>
            </w:r>
          </w:p>
        </w:tc>
        <w:tc>
          <w:tcPr>
            <w:tcW w:w="6662" w:type="dxa"/>
            <w:tcBorders>
              <w:left w:val="single" w:sz="24" w:space="0" w:color="FFFFFF"/>
              <w:right w:val="single" w:sz="24" w:space="0" w:color="FFFFFF"/>
            </w:tcBorders>
            <w:shd w:val="clear" w:color="auto" w:fill="F2F2F2"/>
          </w:tcPr>
          <w:p w14:paraId="77AD1DCE" w14:textId="77777777" w:rsidR="006B6369" w:rsidRPr="007121C2" w:rsidRDefault="006B6369" w:rsidP="00221FFE">
            <w:pPr>
              <w:spacing w:after="120" w:line="240" w:lineRule="auto"/>
              <w:rPr>
                <w:rFonts w:ascii="Helv" w:eastAsia="Times New Roman" w:hAnsi="Helv" w:cs="Helv"/>
                <w:lang w:eastAsia="pt-BR"/>
              </w:rPr>
            </w:pPr>
            <w:r w:rsidRPr="007121C2">
              <w:rPr>
                <w:rFonts w:ascii="Helv" w:eastAsia="Times New Roman" w:hAnsi="Helv" w:cs="Helv"/>
                <w:noProof/>
                <w:szCs w:val="20"/>
                <w:lang w:eastAsia="pt-BR"/>
              </w:rPr>
              <w:t>Denomina</w:t>
            </w:r>
            <w:r w:rsidRPr="007121C2">
              <w:rPr>
                <w:rFonts w:ascii="Helv" w:eastAsia="Times New Roman" w:hAnsi="Helv" w:cs="Helv" w:hint="eastAsia"/>
                <w:noProof/>
                <w:szCs w:val="20"/>
                <w:lang w:eastAsia="pt-BR"/>
              </w:rPr>
              <w:t>çã</w:t>
            </w:r>
            <w:r w:rsidRPr="007121C2">
              <w:rPr>
                <w:rFonts w:ascii="Helv" w:eastAsia="Times New Roman" w:hAnsi="Helv" w:cs="Helv"/>
                <w:noProof/>
                <w:szCs w:val="20"/>
                <w:lang w:eastAsia="pt-BR"/>
              </w:rPr>
              <w:t>o das ilhas de v</w:t>
            </w:r>
            <w:r w:rsidRPr="007121C2">
              <w:rPr>
                <w:rFonts w:ascii="Helv" w:eastAsia="Times New Roman" w:hAnsi="Helv" w:cs="Helv" w:hint="eastAsia"/>
                <w:noProof/>
                <w:szCs w:val="20"/>
                <w:lang w:eastAsia="pt-BR"/>
              </w:rPr>
              <w:t>á</w:t>
            </w:r>
            <w:r w:rsidRPr="007121C2">
              <w:rPr>
                <w:rFonts w:ascii="Helv" w:eastAsia="Times New Roman" w:hAnsi="Helv" w:cs="Helv"/>
                <w:noProof/>
                <w:szCs w:val="20"/>
                <w:lang w:eastAsia="pt-BR"/>
              </w:rPr>
              <w:t>lvulas no diagrama</w:t>
            </w:r>
          </w:p>
        </w:tc>
      </w:tr>
    </w:tbl>
    <w:p w14:paraId="663C26FF" w14:textId="77777777" w:rsidR="006B6369" w:rsidRDefault="006B6369" w:rsidP="006B6369"/>
    <w:p w14:paraId="2CB0DF27" w14:textId="77777777" w:rsidR="006B6369" w:rsidRPr="00C003F2" w:rsidRDefault="006B6369" w:rsidP="006B6369">
      <w:pPr>
        <w:rPr>
          <w:b/>
        </w:rPr>
      </w:pPr>
      <w:r w:rsidRPr="00C003F2">
        <w:rPr>
          <w:b/>
        </w:rPr>
        <w:t>Correlação de cores</w:t>
      </w:r>
    </w:p>
    <w:tbl>
      <w:tblPr>
        <w:tblW w:w="8523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1530"/>
        <w:gridCol w:w="4536"/>
        <w:gridCol w:w="2457"/>
      </w:tblGrid>
      <w:tr w:rsidR="006B6369" w:rsidRPr="007121C2" w14:paraId="7E24989E" w14:textId="77777777" w:rsidTr="00E9330E">
        <w:trPr>
          <w:jc w:val="center"/>
        </w:trPr>
        <w:tc>
          <w:tcPr>
            <w:tcW w:w="1530" w:type="dxa"/>
            <w:shd w:val="clear" w:color="auto" w:fill="BFBFBF" w:themeFill="background1" w:themeFillShade="BF"/>
            <w:vAlign w:val="center"/>
          </w:tcPr>
          <w:p w14:paraId="186D9ED5" w14:textId="77777777" w:rsidR="006B6369" w:rsidRPr="00222E1B" w:rsidRDefault="006B6369" w:rsidP="00221FFE">
            <w:pPr>
              <w:pStyle w:val="TableParagraph"/>
              <w:jc w:val="center"/>
              <w:rPr>
                <w:b/>
                <w:bCs/>
                <w:i/>
              </w:rPr>
            </w:pPr>
            <w:r w:rsidRPr="00222E1B">
              <w:rPr>
                <w:b/>
                <w:bCs/>
                <w:noProof/>
              </w:rPr>
              <w:t>Cor</w:t>
            </w:r>
          </w:p>
        </w:tc>
        <w:tc>
          <w:tcPr>
            <w:tcW w:w="4536" w:type="dxa"/>
            <w:shd w:val="clear" w:color="auto" w:fill="BFBFBF" w:themeFill="background1" w:themeFillShade="BF"/>
            <w:vAlign w:val="center"/>
          </w:tcPr>
          <w:p w14:paraId="407305AE" w14:textId="77777777" w:rsidR="006B6369" w:rsidRPr="00222E1B" w:rsidRDefault="006B6369" w:rsidP="00221FFE">
            <w:pPr>
              <w:pStyle w:val="TableParagraph"/>
              <w:jc w:val="center"/>
              <w:rPr>
                <w:b/>
                <w:bCs/>
              </w:rPr>
            </w:pPr>
            <w:r w:rsidRPr="00222E1B">
              <w:rPr>
                <w:b/>
                <w:bCs/>
                <w:noProof/>
              </w:rPr>
              <w:t>Funcionamento</w:t>
            </w:r>
          </w:p>
        </w:tc>
        <w:tc>
          <w:tcPr>
            <w:tcW w:w="2457" w:type="dxa"/>
            <w:shd w:val="clear" w:color="auto" w:fill="BFBFBF" w:themeFill="background1" w:themeFillShade="BF"/>
            <w:vAlign w:val="center"/>
          </w:tcPr>
          <w:p w14:paraId="17ADB5D0" w14:textId="77777777" w:rsidR="006B6369" w:rsidRPr="00222E1B" w:rsidRDefault="006B6369" w:rsidP="00221FFE">
            <w:pPr>
              <w:pStyle w:val="TableParagraph"/>
              <w:jc w:val="center"/>
              <w:rPr>
                <w:b/>
                <w:bCs/>
              </w:rPr>
            </w:pPr>
            <w:r w:rsidRPr="00222E1B">
              <w:rPr>
                <w:b/>
                <w:bCs/>
                <w:noProof/>
              </w:rPr>
              <w:t>Posi</w:t>
            </w:r>
            <w:r w:rsidRPr="00222E1B">
              <w:rPr>
                <w:rFonts w:hint="eastAsia"/>
                <w:b/>
                <w:bCs/>
                <w:noProof/>
              </w:rPr>
              <w:t>çã</w:t>
            </w:r>
            <w:r w:rsidRPr="00222E1B">
              <w:rPr>
                <w:b/>
                <w:bCs/>
                <w:noProof/>
              </w:rPr>
              <w:t>o de conex</w:t>
            </w:r>
            <w:r w:rsidRPr="00222E1B">
              <w:rPr>
                <w:rFonts w:hint="eastAsia"/>
                <w:b/>
                <w:bCs/>
                <w:noProof/>
              </w:rPr>
              <w:t>ã</w:t>
            </w:r>
            <w:r w:rsidRPr="00222E1B">
              <w:rPr>
                <w:b/>
                <w:bCs/>
                <w:noProof/>
              </w:rPr>
              <w:t>o pneum</w:t>
            </w:r>
            <w:r w:rsidRPr="00222E1B">
              <w:rPr>
                <w:rFonts w:hint="eastAsia"/>
                <w:b/>
                <w:bCs/>
                <w:noProof/>
              </w:rPr>
              <w:t>á</w:t>
            </w:r>
            <w:r w:rsidRPr="00222E1B">
              <w:rPr>
                <w:b/>
                <w:bCs/>
                <w:noProof/>
              </w:rPr>
              <w:t>tica</w:t>
            </w:r>
          </w:p>
        </w:tc>
      </w:tr>
      <w:tr w:rsidR="006B6369" w:rsidRPr="007121C2" w14:paraId="2CF21D39" w14:textId="77777777" w:rsidTr="00E9330E">
        <w:trPr>
          <w:jc w:val="center"/>
        </w:trPr>
        <w:tc>
          <w:tcPr>
            <w:tcW w:w="1530" w:type="dxa"/>
            <w:shd w:val="clear" w:color="auto" w:fill="F2F2F2"/>
          </w:tcPr>
          <w:p w14:paraId="5CFFDE1B" w14:textId="77777777" w:rsidR="006B6369" w:rsidRPr="007121C2" w:rsidRDefault="006B6369" w:rsidP="00221FFE">
            <w:pPr>
              <w:pStyle w:val="TableParagraph"/>
              <w:rPr>
                <w:noProof/>
              </w:rPr>
            </w:pPr>
            <w:r w:rsidRPr="007121C2">
              <w:rPr>
                <w:noProof/>
              </w:rPr>
              <w:t>Vermelho</w:t>
            </w:r>
          </w:p>
        </w:tc>
        <w:tc>
          <w:tcPr>
            <w:tcW w:w="4536" w:type="dxa"/>
            <w:shd w:val="clear" w:color="auto" w:fill="F2F2F2"/>
          </w:tcPr>
          <w:p w14:paraId="5EF8A3A0" w14:textId="77777777" w:rsidR="006B6369" w:rsidRPr="007121C2" w:rsidRDefault="006B6369" w:rsidP="00221FFE">
            <w:pPr>
              <w:pStyle w:val="TableParagraph"/>
            </w:pPr>
            <w:r w:rsidRPr="007121C2">
              <w:rPr>
                <w:noProof/>
              </w:rPr>
              <w:t>Cilindro principal</w:t>
            </w:r>
          </w:p>
        </w:tc>
        <w:tc>
          <w:tcPr>
            <w:tcW w:w="2457" w:type="dxa"/>
            <w:shd w:val="clear" w:color="auto" w:fill="F2F2F2"/>
          </w:tcPr>
          <w:p w14:paraId="03AA0799" w14:textId="77777777" w:rsidR="006B6369" w:rsidRPr="007121C2" w:rsidRDefault="006B6369" w:rsidP="00221FFE">
            <w:pPr>
              <w:pStyle w:val="TableParagraph"/>
              <w:jc w:val="center"/>
              <w:rPr>
                <w:noProof/>
              </w:rPr>
            </w:pPr>
            <w:r w:rsidRPr="007121C2">
              <w:rPr>
                <w:noProof/>
              </w:rPr>
              <w:t>1 - 4</w:t>
            </w:r>
          </w:p>
        </w:tc>
      </w:tr>
      <w:tr w:rsidR="006B6369" w:rsidRPr="007121C2" w14:paraId="12BDBCE3" w14:textId="77777777" w:rsidTr="00E9330E">
        <w:trPr>
          <w:jc w:val="center"/>
        </w:trPr>
        <w:tc>
          <w:tcPr>
            <w:tcW w:w="1530" w:type="dxa"/>
            <w:shd w:val="clear" w:color="auto" w:fill="F2F2F2"/>
          </w:tcPr>
          <w:p w14:paraId="5F57E6BA" w14:textId="77777777" w:rsidR="006B6369" w:rsidRPr="007121C2" w:rsidRDefault="006B6369" w:rsidP="00221FFE">
            <w:pPr>
              <w:pStyle w:val="TableParagraph"/>
              <w:rPr>
                <w:noProof/>
              </w:rPr>
            </w:pPr>
            <w:r w:rsidRPr="007121C2">
              <w:rPr>
                <w:noProof/>
              </w:rPr>
              <w:t>Branco</w:t>
            </w:r>
          </w:p>
        </w:tc>
        <w:tc>
          <w:tcPr>
            <w:tcW w:w="4536" w:type="dxa"/>
            <w:shd w:val="clear" w:color="auto" w:fill="F2F2F2"/>
          </w:tcPr>
          <w:p w14:paraId="4A3B514D" w14:textId="77777777" w:rsidR="006B6369" w:rsidRPr="007121C2" w:rsidRDefault="006B6369" w:rsidP="00221FFE">
            <w:pPr>
              <w:pStyle w:val="TableParagraph"/>
            </w:pPr>
            <w:r w:rsidRPr="007121C2">
              <w:rPr>
                <w:noProof/>
              </w:rPr>
              <w:t>Entrada de CO2</w:t>
            </w:r>
          </w:p>
        </w:tc>
        <w:tc>
          <w:tcPr>
            <w:tcW w:w="2457" w:type="dxa"/>
            <w:shd w:val="clear" w:color="auto" w:fill="F2F2F2"/>
          </w:tcPr>
          <w:p w14:paraId="60AAC7BE" w14:textId="77777777" w:rsidR="006B6369" w:rsidRPr="007121C2" w:rsidRDefault="006B6369" w:rsidP="00221FFE">
            <w:pPr>
              <w:pStyle w:val="TableParagraph"/>
              <w:jc w:val="center"/>
              <w:rPr>
                <w:noProof/>
              </w:rPr>
            </w:pPr>
            <w:r w:rsidRPr="007121C2">
              <w:rPr>
                <w:noProof/>
              </w:rPr>
              <w:t>5 - 8</w:t>
            </w:r>
          </w:p>
        </w:tc>
      </w:tr>
      <w:tr w:rsidR="006B6369" w:rsidRPr="007121C2" w14:paraId="51E26609" w14:textId="77777777" w:rsidTr="00E9330E">
        <w:trPr>
          <w:jc w:val="center"/>
        </w:trPr>
        <w:tc>
          <w:tcPr>
            <w:tcW w:w="1530" w:type="dxa"/>
            <w:shd w:val="clear" w:color="auto" w:fill="F2F2F2"/>
          </w:tcPr>
          <w:p w14:paraId="1404036B" w14:textId="77777777" w:rsidR="006B6369" w:rsidRPr="007121C2" w:rsidRDefault="006B6369" w:rsidP="00221FFE">
            <w:pPr>
              <w:pStyle w:val="TableParagraph"/>
              <w:rPr>
                <w:noProof/>
              </w:rPr>
            </w:pPr>
            <w:r w:rsidRPr="007121C2">
              <w:rPr>
                <w:noProof/>
              </w:rPr>
              <w:t>Azul</w:t>
            </w:r>
          </w:p>
        </w:tc>
        <w:tc>
          <w:tcPr>
            <w:tcW w:w="4536" w:type="dxa"/>
            <w:shd w:val="clear" w:color="auto" w:fill="F2F2F2"/>
          </w:tcPr>
          <w:p w14:paraId="7903E720" w14:textId="77777777" w:rsidR="006B6369" w:rsidRPr="007121C2" w:rsidRDefault="006B6369" w:rsidP="00221FFE">
            <w:pPr>
              <w:pStyle w:val="TableParagraph"/>
            </w:pPr>
            <w:r w:rsidRPr="007121C2">
              <w:rPr>
                <w:noProof/>
              </w:rPr>
              <w:t>Enxague de CO2</w:t>
            </w:r>
          </w:p>
        </w:tc>
        <w:tc>
          <w:tcPr>
            <w:tcW w:w="2457" w:type="dxa"/>
            <w:shd w:val="clear" w:color="auto" w:fill="F2F2F2"/>
          </w:tcPr>
          <w:p w14:paraId="25C6ACDD" w14:textId="77777777" w:rsidR="006B6369" w:rsidRPr="007121C2" w:rsidRDefault="006B6369" w:rsidP="00221FFE">
            <w:pPr>
              <w:pStyle w:val="TableParagraph"/>
              <w:jc w:val="center"/>
              <w:rPr>
                <w:noProof/>
              </w:rPr>
            </w:pPr>
            <w:r w:rsidRPr="007121C2">
              <w:rPr>
                <w:noProof/>
              </w:rPr>
              <w:t>9 - 12</w:t>
            </w:r>
          </w:p>
        </w:tc>
      </w:tr>
      <w:tr w:rsidR="006B6369" w:rsidRPr="007121C2" w14:paraId="4CD2B352" w14:textId="77777777" w:rsidTr="00E9330E">
        <w:trPr>
          <w:jc w:val="center"/>
        </w:trPr>
        <w:tc>
          <w:tcPr>
            <w:tcW w:w="1530" w:type="dxa"/>
            <w:shd w:val="clear" w:color="auto" w:fill="F2F2F2"/>
          </w:tcPr>
          <w:p w14:paraId="7571599B" w14:textId="77777777" w:rsidR="006B6369" w:rsidRPr="007121C2" w:rsidRDefault="006B6369" w:rsidP="00221FFE">
            <w:pPr>
              <w:pStyle w:val="TableParagraph"/>
              <w:rPr>
                <w:noProof/>
              </w:rPr>
            </w:pPr>
            <w:r w:rsidRPr="007121C2">
              <w:rPr>
                <w:noProof/>
              </w:rPr>
              <w:t>Verde</w:t>
            </w:r>
          </w:p>
        </w:tc>
        <w:tc>
          <w:tcPr>
            <w:tcW w:w="4536" w:type="dxa"/>
            <w:shd w:val="clear" w:color="auto" w:fill="F2F2F2"/>
          </w:tcPr>
          <w:p w14:paraId="1887968F" w14:textId="77777777" w:rsidR="006B6369" w:rsidRPr="007121C2" w:rsidRDefault="006B6369" w:rsidP="00221FFE">
            <w:pPr>
              <w:pStyle w:val="TableParagraph"/>
            </w:pPr>
            <w:r w:rsidRPr="007121C2">
              <w:rPr>
                <w:noProof/>
              </w:rPr>
              <w:t>Al</w:t>
            </w:r>
            <w:r w:rsidRPr="007121C2">
              <w:rPr>
                <w:rFonts w:hint="eastAsia"/>
                <w:noProof/>
              </w:rPr>
              <w:t>í</w:t>
            </w:r>
            <w:r w:rsidRPr="007121C2">
              <w:rPr>
                <w:noProof/>
              </w:rPr>
              <w:t>vio</w:t>
            </w:r>
          </w:p>
        </w:tc>
        <w:tc>
          <w:tcPr>
            <w:tcW w:w="2457" w:type="dxa"/>
            <w:shd w:val="clear" w:color="auto" w:fill="F2F2F2"/>
          </w:tcPr>
          <w:p w14:paraId="24A79A2F" w14:textId="77777777" w:rsidR="006B6369" w:rsidRPr="007121C2" w:rsidRDefault="006B6369" w:rsidP="00221FFE">
            <w:pPr>
              <w:pStyle w:val="TableParagraph"/>
              <w:jc w:val="center"/>
              <w:rPr>
                <w:noProof/>
              </w:rPr>
            </w:pPr>
            <w:r w:rsidRPr="007121C2">
              <w:rPr>
                <w:noProof/>
              </w:rPr>
              <w:t>13 - 16</w:t>
            </w:r>
          </w:p>
        </w:tc>
      </w:tr>
    </w:tbl>
    <w:p w14:paraId="4A363E1C" w14:textId="77777777" w:rsidR="006B6369" w:rsidRDefault="006B6369" w:rsidP="006B6369"/>
    <w:p w14:paraId="1DF9928A" w14:textId="77777777" w:rsidR="006B6369" w:rsidRDefault="006B6369" w:rsidP="006B6369">
      <w:pPr>
        <w:spacing w:line="259" w:lineRule="auto"/>
        <w:jc w:val="left"/>
      </w:pPr>
      <w:r>
        <w:br w:type="page"/>
      </w:r>
    </w:p>
    <w:p w14:paraId="0A776DDC" w14:textId="77777777" w:rsidR="006B6369" w:rsidRDefault="006B6369" w:rsidP="006B6369">
      <w:pPr>
        <w:pStyle w:val="Ttulo3"/>
      </w:pPr>
      <w:bookmarkStart w:id="16" w:name="_Toc56067996"/>
      <w:r w:rsidRPr="0030061E">
        <w:t>Diagrama de conexão do quadro pneumático</w:t>
      </w:r>
      <w:bookmarkEnd w:id="16"/>
    </w:p>
    <w:p w14:paraId="22BE4D77" w14:textId="77777777" w:rsidR="006B6369" w:rsidRDefault="006B6369" w:rsidP="006B6369">
      <w:r w:rsidRPr="0030061E">
        <w:t xml:space="preserve">O quadro pneumático encontra-se sobre a parte superior da </w:t>
      </w:r>
      <w:r>
        <w:t>envasadora</w:t>
      </w:r>
      <w:r w:rsidRPr="0030061E">
        <w:t xml:space="preserve"> e tem como função acionar os módulos pneumáticos.</w:t>
      </w:r>
    </w:p>
    <w:p w14:paraId="79AE9F13" w14:textId="77777777" w:rsidR="006B6369" w:rsidRDefault="006B6369" w:rsidP="006B6369">
      <w:pPr>
        <w:keepNext/>
        <w:jc w:val="center"/>
      </w:pPr>
      <w:r>
        <w:rPr>
          <w:noProof/>
        </w:rPr>
        <w:drawing>
          <wp:inline distT="0" distB="0" distL="0" distR="0" wp14:anchorId="57451CE0" wp14:editId="11719651">
            <wp:extent cx="3380740" cy="1447800"/>
            <wp:effectExtent l="0" t="0" r="0" b="0"/>
            <wp:docPr id="949352" name="Imagem 949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74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199BBB" w14:textId="7F6460AB" w:rsidR="006B6369" w:rsidRDefault="006B6369" w:rsidP="006B6369">
      <w:pPr>
        <w:pStyle w:val="Legenda"/>
      </w:pPr>
      <w:bookmarkStart w:id="17" w:name="_Toc56071268"/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1E5270">
        <w:fldChar w:fldCharType="begin"/>
      </w:r>
      <w:r w:rsidR="001E5270">
        <w:instrText xml:space="preserve"> SEQ Figura \* ARABIC \s 1 </w:instrText>
      </w:r>
      <w:r w:rsidR="001E5270">
        <w:fldChar w:fldCharType="separate"/>
      </w:r>
      <w:r>
        <w:rPr>
          <w:noProof/>
        </w:rPr>
        <w:t>2</w:t>
      </w:r>
      <w:r w:rsidR="001E5270">
        <w:rPr>
          <w:noProof/>
        </w:rPr>
        <w:fldChar w:fldCharType="end"/>
      </w:r>
      <w:r>
        <w:t xml:space="preserve">: </w:t>
      </w:r>
      <w:r w:rsidRPr="00494BD2">
        <w:t>Conexões</w:t>
      </w:r>
      <w:bookmarkEnd w:id="17"/>
    </w:p>
    <w:p w14:paraId="48DD7263" w14:textId="77777777" w:rsidR="006B6369" w:rsidRPr="006B6369" w:rsidRDefault="006B6369" w:rsidP="006B6369"/>
    <w:p w14:paraId="60782A46" w14:textId="77777777" w:rsidR="006B6369" w:rsidRPr="00C003F2" w:rsidRDefault="006B6369" w:rsidP="006B6369">
      <w:pPr>
        <w:rPr>
          <w:b/>
        </w:rPr>
      </w:pPr>
      <w:r w:rsidRPr="00C003F2">
        <w:rPr>
          <w:b/>
        </w:rPr>
        <w:t>Diagrama de conexões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1707"/>
        <w:gridCol w:w="6798"/>
      </w:tblGrid>
      <w:tr w:rsidR="006B6369" w:rsidRPr="00B1368F" w14:paraId="2C600961" w14:textId="77777777" w:rsidTr="00E9330E">
        <w:trPr>
          <w:trHeight w:val="425"/>
          <w:jc w:val="center"/>
        </w:trPr>
        <w:tc>
          <w:tcPr>
            <w:tcW w:w="1701" w:type="dxa"/>
            <w:shd w:val="clear" w:color="auto" w:fill="BFBFBF"/>
            <w:vAlign w:val="center"/>
          </w:tcPr>
          <w:p w14:paraId="7CFABB5C" w14:textId="77777777" w:rsidR="006B6369" w:rsidRPr="00222E1B" w:rsidRDefault="006B6369" w:rsidP="00221FFE">
            <w:pPr>
              <w:pStyle w:val="TableParagraph"/>
              <w:spacing w:after="0"/>
              <w:jc w:val="center"/>
              <w:rPr>
                <w:b/>
                <w:bCs/>
              </w:rPr>
            </w:pPr>
            <w:r w:rsidRPr="00222E1B">
              <w:rPr>
                <w:b/>
                <w:bCs/>
              </w:rPr>
              <w:t>Saída</w:t>
            </w:r>
          </w:p>
        </w:tc>
        <w:tc>
          <w:tcPr>
            <w:tcW w:w="6774" w:type="dxa"/>
            <w:shd w:val="clear" w:color="auto" w:fill="BFBFBF" w:themeFill="background1" w:themeFillShade="BF"/>
            <w:vAlign w:val="center"/>
          </w:tcPr>
          <w:p w14:paraId="39F2A2E5" w14:textId="77777777" w:rsidR="006B6369" w:rsidRPr="00222E1B" w:rsidRDefault="006B6369" w:rsidP="00221FFE">
            <w:pPr>
              <w:pStyle w:val="TableParagraph"/>
              <w:spacing w:after="0"/>
              <w:jc w:val="center"/>
              <w:rPr>
                <w:b/>
                <w:bCs/>
              </w:rPr>
            </w:pPr>
            <w:r w:rsidRPr="00222E1B">
              <w:rPr>
                <w:b/>
                <w:bCs/>
              </w:rPr>
              <w:t>Conexão</w:t>
            </w:r>
          </w:p>
        </w:tc>
      </w:tr>
      <w:tr w:rsidR="006B6369" w:rsidRPr="00B1368F" w14:paraId="7CDDC097" w14:textId="77777777" w:rsidTr="00E9330E">
        <w:trPr>
          <w:trHeight w:val="425"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7B548E13" w14:textId="77777777" w:rsidR="006B6369" w:rsidRPr="00B1368F" w:rsidRDefault="006B6369" w:rsidP="00221FFE">
            <w:pPr>
              <w:pStyle w:val="TableParagraph"/>
              <w:spacing w:after="0"/>
              <w:jc w:val="center"/>
            </w:pPr>
            <w:r w:rsidRPr="00C87665">
              <w:rPr>
                <w:noProof/>
              </w:rPr>
              <w:t>1 - 4</w:t>
            </w:r>
          </w:p>
        </w:tc>
        <w:tc>
          <w:tcPr>
            <w:tcW w:w="6774" w:type="dxa"/>
            <w:shd w:val="clear" w:color="auto" w:fill="F2F2F2"/>
            <w:vAlign w:val="center"/>
          </w:tcPr>
          <w:p w14:paraId="75DB65D0" w14:textId="77777777" w:rsidR="006B6369" w:rsidRPr="00B1368F" w:rsidRDefault="006B6369" w:rsidP="00221FFE">
            <w:pPr>
              <w:pStyle w:val="TableParagraph"/>
              <w:spacing w:after="0"/>
            </w:pPr>
            <w:r w:rsidRPr="00C87665">
              <w:rPr>
                <w:noProof/>
              </w:rPr>
              <w:t>Comando de tulipas</w:t>
            </w:r>
          </w:p>
        </w:tc>
      </w:tr>
      <w:tr w:rsidR="006B6369" w:rsidRPr="00B1368F" w14:paraId="56BB28F3" w14:textId="77777777" w:rsidTr="00E9330E">
        <w:trPr>
          <w:trHeight w:val="425"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62324D93" w14:textId="77777777" w:rsidR="006B6369" w:rsidRPr="00B1368F" w:rsidRDefault="006B6369" w:rsidP="00221FFE">
            <w:pPr>
              <w:pStyle w:val="TableParagraph"/>
              <w:spacing w:after="0"/>
              <w:jc w:val="center"/>
            </w:pPr>
            <w:r w:rsidRPr="00C87665">
              <w:rPr>
                <w:noProof/>
              </w:rPr>
              <w:t>5 - 8</w:t>
            </w:r>
          </w:p>
        </w:tc>
        <w:tc>
          <w:tcPr>
            <w:tcW w:w="6774" w:type="dxa"/>
            <w:shd w:val="clear" w:color="auto" w:fill="F2F2F2"/>
            <w:vAlign w:val="center"/>
          </w:tcPr>
          <w:p w14:paraId="3ED6EFD2" w14:textId="77777777" w:rsidR="006B6369" w:rsidRPr="00B1368F" w:rsidRDefault="006B6369" w:rsidP="00221FFE">
            <w:pPr>
              <w:pStyle w:val="TableParagraph"/>
              <w:spacing w:after="0"/>
            </w:pPr>
            <w:r w:rsidRPr="00C87665">
              <w:rPr>
                <w:noProof/>
              </w:rPr>
              <w:t>Posi</w:t>
            </w:r>
            <w:r w:rsidRPr="00C87665">
              <w:rPr>
                <w:rFonts w:hint="eastAsia"/>
                <w:noProof/>
              </w:rPr>
              <w:t>çã</w:t>
            </w:r>
            <w:r w:rsidRPr="00C87665">
              <w:rPr>
                <w:noProof/>
              </w:rPr>
              <w:t>o 65</w:t>
            </w:r>
          </w:p>
        </w:tc>
      </w:tr>
      <w:tr w:rsidR="006B6369" w:rsidRPr="00B1368F" w14:paraId="0B3DB797" w14:textId="77777777" w:rsidTr="00E9330E">
        <w:trPr>
          <w:trHeight w:val="425"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651ECE10" w14:textId="77777777" w:rsidR="006B6369" w:rsidRPr="00E74292" w:rsidRDefault="006B6369" w:rsidP="00221FFE">
            <w:pPr>
              <w:pStyle w:val="TableParagraph"/>
              <w:spacing w:after="0"/>
              <w:jc w:val="center"/>
              <w:rPr>
                <w:color w:val="000000"/>
              </w:rPr>
            </w:pPr>
            <w:r w:rsidRPr="00C87665">
              <w:rPr>
                <w:noProof/>
              </w:rPr>
              <w:t>9</w:t>
            </w:r>
          </w:p>
        </w:tc>
        <w:tc>
          <w:tcPr>
            <w:tcW w:w="6774" w:type="dxa"/>
            <w:shd w:val="clear" w:color="auto" w:fill="F2F2F2"/>
            <w:vAlign w:val="center"/>
          </w:tcPr>
          <w:p w14:paraId="69D42935" w14:textId="77777777" w:rsidR="006B6369" w:rsidRPr="00B1368F" w:rsidRDefault="006B6369" w:rsidP="00221FFE">
            <w:pPr>
              <w:pStyle w:val="TableParagraph"/>
              <w:spacing w:after="0"/>
            </w:pPr>
            <w:r w:rsidRPr="00C87665">
              <w:rPr>
                <w:noProof/>
              </w:rPr>
              <w:t>V</w:t>
            </w:r>
            <w:r w:rsidRPr="00C87665">
              <w:rPr>
                <w:rFonts w:hint="eastAsia"/>
                <w:noProof/>
              </w:rPr>
              <w:t>á</w:t>
            </w:r>
            <w:r w:rsidRPr="00C87665">
              <w:rPr>
                <w:noProof/>
              </w:rPr>
              <w:t>lvula de seguran</w:t>
            </w:r>
            <w:r w:rsidRPr="00C87665">
              <w:rPr>
                <w:rFonts w:hint="eastAsia"/>
                <w:noProof/>
              </w:rPr>
              <w:t>ç</w:t>
            </w:r>
            <w:r w:rsidRPr="00C87665">
              <w:rPr>
                <w:noProof/>
              </w:rPr>
              <w:t>a</w:t>
            </w:r>
          </w:p>
        </w:tc>
      </w:tr>
      <w:tr w:rsidR="006B6369" w:rsidRPr="00B1368F" w14:paraId="4D8BC058" w14:textId="77777777" w:rsidTr="00E9330E">
        <w:trPr>
          <w:trHeight w:val="425"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59B8CD75" w14:textId="77777777" w:rsidR="006B6369" w:rsidRPr="00E74292" w:rsidRDefault="006B6369" w:rsidP="00221FFE">
            <w:pPr>
              <w:pStyle w:val="TableParagraph"/>
              <w:spacing w:after="0"/>
              <w:jc w:val="center"/>
              <w:rPr>
                <w:color w:val="000000"/>
              </w:rPr>
            </w:pPr>
            <w:r w:rsidRPr="00C87665">
              <w:rPr>
                <w:noProof/>
              </w:rPr>
              <w:t>10</w:t>
            </w:r>
          </w:p>
        </w:tc>
        <w:tc>
          <w:tcPr>
            <w:tcW w:w="6774" w:type="dxa"/>
            <w:shd w:val="clear" w:color="auto" w:fill="F2F2F2"/>
            <w:vAlign w:val="center"/>
          </w:tcPr>
          <w:p w14:paraId="21AEE4C9" w14:textId="77777777" w:rsidR="006B6369" w:rsidRPr="00B1368F" w:rsidRDefault="006B6369" w:rsidP="00221FFE">
            <w:pPr>
              <w:pStyle w:val="TableParagraph"/>
              <w:spacing w:after="0"/>
            </w:pPr>
            <w:r w:rsidRPr="00C87665">
              <w:rPr>
                <w:noProof/>
              </w:rPr>
              <w:t>V</w:t>
            </w:r>
            <w:r w:rsidRPr="00C87665">
              <w:rPr>
                <w:rFonts w:hint="eastAsia"/>
                <w:noProof/>
              </w:rPr>
              <w:t>á</w:t>
            </w:r>
            <w:r w:rsidRPr="00C87665">
              <w:rPr>
                <w:noProof/>
              </w:rPr>
              <w:t xml:space="preserve">lvula </w:t>
            </w:r>
            <w:r>
              <w:rPr>
                <w:noProof/>
              </w:rPr>
              <w:t>da</w:t>
            </w:r>
            <w:r w:rsidRPr="00C87665">
              <w:rPr>
                <w:noProof/>
              </w:rPr>
              <w:t xml:space="preserve"> tubula</w:t>
            </w:r>
            <w:r w:rsidRPr="00C87665">
              <w:rPr>
                <w:rFonts w:hint="eastAsia"/>
                <w:noProof/>
              </w:rPr>
              <w:t>çã</w:t>
            </w:r>
            <w:r w:rsidRPr="00C87665">
              <w:rPr>
                <w:noProof/>
              </w:rPr>
              <w:t>o</w:t>
            </w:r>
            <w:r>
              <w:rPr>
                <w:noProof/>
              </w:rPr>
              <w:t xml:space="preserve"> </w:t>
            </w:r>
            <w:r w:rsidRPr="00C87665">
              <w:rPr>
                <w:noProof/>
              </w:rPr>
              <w:t>parte superior</w:t>
            </w:r>
          </w:p>
        </w:tc>
      </w:tr>
      <w:tr w:rsidR="006B6369" w:rsidRPr="00B1368F" w14:paraId="147FCA0A" w14:textId="77777777" w:rsidTr="00E9330E">
        <w:trPr>
          <w:trHeight w:val="425"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055EDB32" w14:textId="77777777" w:rsidR="006B6369" w:rsidRPr="00E74292" w:rsidRDefault="006B6369" w:rsidP="00221FFE">
            <w:pPr>
              <w:pStyle w:val="TableParagraph"/>
              <w:spacing w:after="0"/>
              <w:jc w:val="center"/>
              <w:rPr>
                <w:color w:val="000000"/>
              </w:rPr>
            </w:pPr>
            <w:r w:rsidRPr="00C87665">
              <w:rPr>
                <w:noProof/>
              </w:rPr>
              <w:t>11</w:t>
            </w:r>
          </w:p>
        </w:tc>
        <w:tc>
          <w:tcPr>
            <w:tcW w:w="6774" w:type="dxa"/>
            <w:shd w:val="clear" w:color="auto" w:fill="F2F2F2"/>
            <w:vAlign w:val="center"/>
          </w:tcPr>
          <w:p w14:paraId="230BBDDF" w14:textId="77777777" w:rsidR="006B6369" w:rsidRPr="00C87665" w:rsidRDefault="006B6369" w:rsidP="00221FFE">
            <w:pPr>
              <w:pStyle w:val="TableParagraph"/>
              <w:spacing w:after="0"/>
              <w:rPr>
                <w:noProof/>
              </w:rPr>
            </w:pPr>
            <w:r w:rsidRPr="00C87665">
              <w:rPr>
                <w:noProof/>
              </w:rPr>
              <w:t>Alimenta</w:t>
            </w:r>
            <w:r w:rsidRPr="00C87665">
              <w:rPr>
                <w:rFonts w:hint="eastAsia"/>
                <w:noProof/>
              </w:rPr>
              <w:t>çã</w:t>
            </w:r>
            <w:r w:rsidRPr="00C87665">
              <w:rPr>
                <w:noProof/>
              </w:rPr>
              <w:t>o de ar</w:t>
            </w:r>
          </w:p>
        </w:tc>
      </w:tr>
    </w:tbl>
    <w:p w14:paraId="332B18B3" w14:textId="2BB06B77" w:rsidR="007A66B2" w:rsidRPr="00614D25" w:rsidRDefault="007A66B2" w:rsidP="007D58AE"/>
    <w:sectPr w:rsidR="007A66B2" w:rsidRPr="00614D25" w:rsidSect="0034363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C83B9F" w14:textId="77777777" w:rsidR="001E5270" w:rsidRDefault="001E527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1E5270">
      <w:trPr>
        <w:trHeight w:val="454"/>
      </w:trPr>
      <w:tc>
        <w:tcPr>
          <w:tcW w:w="2838" w:type="dxa"/>
          <w:vAlign w:val="center"/>
        </w:tcPr>
        <w:p w14:paraId="6016363D" w14:textId="3493E297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E527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1E5270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DD60F6" w14:textId="77777777" w:rsidR="001E5270" w:rsidRDefault="001E527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464D7A" w14:textId="77777777" w:rsidR="001E5270" w:rsidRDefault="001E527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1E5270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1E5270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DA92D86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E527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08D6B8" w14:textId="77777777" w:rsidR="001E5270" w:rsidRDefault="001E527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2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E5270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B6369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9330E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6B6369"/>
    <w:pPr>
      <w:widowControl w:val="0"/>
      <w:autoSpaceDE w:val="0"/>
      <w:autoSpaceDN w:val="0"/>
      <w:spacing w:before="33" w:after="120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CA899C-A274-41B4-B42C-08DFD62CA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964</Words>
  <Characters>5497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