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B8747B" w14:textId="77777777" w:rsidR="009D05CA" w:rsidRDefault="009D05CA" w:rsidP="00287CD2">
      <w:pPr>
        <w:pStyle w:val="Ttulo2"/>
      </w:pPr>
      <w:bookmarkStart w:id="1" w:name="_Toc56067961"/>
      <w:bookmarkStart w:id="2" w:name="_GoBack"/>
      <w:bookmarkEnd w:id="2"/>
      <w:r>
        <w:t>Dispositivo de aviso</w:t>
      </w:r>
      <w:bookmarkEnd w:id="1"/>
    </w:p>
    <w:p w14:paraId="2B60DCCD" w14:textId="72DD660E" w:rsidR="009D05CA" w:rsidRDefault="009D05CA" w:rsidP="009D05CA">
      <w:pPr>
        <w:pStyle w:val="Ttulo3"/>
      </w:pPr>
      <w:r>
        <w:t>Luzes de sinalização</w:t>
      </w:r>
    </w:p>
    <w:p w14:paraId="4FBBBCAA" w14:textId="74F0D421" w:rsidR="009D05CA" w:rsidRDefault="009D05CA" w:rsidP="009D05CA">
      <w:r>
        <w:t>A luz de sinalização está integrada no revestimento da máquina e indica o status operacional ou mau funcionamento da máquina por meio de luzes coloridas.</w:t>
      </w:r>
    </w:p>
    <w:p w14:paraId="32A11096" w14:textId="01AFB5C4" w:rsidR="009D05CA" w:rsidRDefault="009D05CA" w:rsidP="009D05CA">
      <w:r>
        <w:t>Nesse contexto, consulte também o capítulo “</w:t>
      </w:r>
      <w:r w:rsidRPr="009D05CA">
        <w:rPr>
          <w:i/>
          <w:iCs/>
        </w:rPr>
        <w:t>Falhas</w:t>
      </w:r>
      <w:r>
        <w:t>”.</w:t>
      </w:r>
    </w:p>
    <w:p w14:paraId="4CDCD1A8" w14:textId="77777777" w:rsidR="009D05CA" w:rsidRPr="00B014F0" w:rsidRDefault="009D05CA" w:rsidP="009D05CA"/>
    <w:p w14:paraId="1EADFD51" w14:textId="77777777" w:rsidR="009D05CA" w:rsidRDefault="009D05CA" w:rsidP="009D05CA">
      <w:pPr>
        <w:keepNext/>
        <w:jc w:val="center"/>
      </w:pPr>
      <w:r w:rsidRPr="009D05CA">
        <w:rPr>
          <w:noProof/>
        </w:rPr>
        <w:drawing>
          <wp:inline distT="0" distB="0" distL="0" distR="0" wp14:anchorId="56D5E8CF" wp14:editId="67513E30">
            <wp:extent cx="4953691" cy="421063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5F71" w14:textId="0AB1504E" w:rsidR="009D05CA" w:rsidRDefault="009D05CA" w:rsidP="009D05C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E615F">
        <w:fldChar w:fldCharType="begin"/>
      </w:r>
      <w:r w:rsidR="00CE615F">
        <w:instrText xml:space="preserve"> SEQ Figura \* ARABIC \s 1 </w:instrText>
      </w:r>
      <w:r w:rsidR="00CE615F">
        <w:fldChar w:fldCharType="separate"/>
      </w:r>
      <w:r>
        <w:rPr>
          <w:noProof/>
        </w:rPr>
        <w:t>1</w:t>
      </w:r>
      <w:r w:rsidR="00CE615F">
        <w:rPr>
          <w:noProof/>
        </w:rPr>
        <w:fldChar w:fldCharType="end"/>
      </w:r>
      <w:r w:rsidRPr="00B95A74">
        <w:t>: Luzes de sinalização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9D05CA" w:rsidRPr="00C465C0" w14:paraId="613C1A27" w14:textId="77777777" w:rsidTr="00E07CB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6200059" w14:textId="77777777" w:rsidR="009D05CA" w:rsidRPr="00C465C0" w:rsidRDefault="009D05CA" w:rsidP="00E07CBF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BA17AC" w14:textId="77777777" w:rsidR="009D05CA" w:rsidRPr="00C465C0" w:rsidRDefault="009D05CA" w:rsidP="00E07CB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22AE3F2" w14:textId="77777777" w:rsidR="009D05CA" w:rsidRPr="00C465C0" w:rsidRDefault="009D05CA" w:rsidP="00E07CB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277992D" w14:textId="77777777" w:rsidR="009D05CA" w:rsidRPr="00C465C0" w:rsidRDefault="009D05CA" w:rsidP="00E07CBF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9D05CA" w:rsidRPr="00C465C0" w14:paraId="246AA848" w14:textId="77777777" w:rsidTr="00032FA8">
        <w:trPr>
          <w:trHeight w:val="67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9C43CF5" w14:textId="77777777" w:rsidR="009D05CA" w:rsidRPr="00C465C0" w:rsidRDefault="009D05CA" w:rsidP="00E07CBF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636755" w14:textId="6FFEF770" w:rsidR="009D05CA" w:rsidRPr="00C465C0" w:rsidRDefault="009D05CA" w:rsidP="00032FA8">
            <w:pPr>
              <w:spacing w:after="0"/>
              <w:jc w:val="left"/>
              <w:rPr>
                <w:rFonts w:eastAsia="Calibri"/>
              </w:rPr>
            </w:pPr>
            <w:r w:rsidRPr="009D05CA">
              <w:rPr>
                <w:rFonts w:eastAsia="Calibri"/>
              </w:rPr>
              <w:t>Luminária na cor vermelha, amarela ou branca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800A08" w14:textId="77777777" w:rsidR="009D05CA" w:rsidRPr="00C465C0" w:rsidRDefault="009D05CA" w:rsidP="00032FA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0DD329" w14:textId="2641756C" w:rsidR="009D05CA" w:rsidRPr="00C465C0" w:rsidRDefault="009D05CA" w:rsidP="00032FA8">
            <w:pPr>
              <w:spacing w:after="0"/>
              <w:jc w:val="left"/>
              <w:rPr>
                <w:rFonts w:eastAsia="Calibri"/>
              </w:rPr>
            </w:pPr>
            <w:r w:rsidRPr="009D05CA">
              <w:rPr>
                <w:rFonts w:eastAsia="Calibri"/>
              </w:rPr>
              <w:t>Luminária na cor verde</w:t>
            </w:r>
          </w:p>
        </w:tc>
      </w:tr>
      <w:tr w:rsidR="009D05CA" w:rsidRPr="00C465C0" w14:paraId="652A56DE" w14:textId="77777777" w:rsidTr="00E07CBF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C6AA93" w14:textId="77777777" w:rsidR="009D05CA" w:rsidRPr="00C465C0" w:rsidRDefault="009D05CA" w:rsidP="00E07CBF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8A89C5" w14:textId="1A78FB8C" w:rsidR="009D05CA" w:rsidRPr="00320BB2" w:rsidRDefault="009D05CA" w:rsidP="00032FA8">
            <w:pPr>
              <w:spacing w:after="0"/>
              <w:jc w:val="left"/>
              <w:rPr>
                <w:rFonts w:eastAsia="Calibri"/>
              </w:rPr>
            </w:pPr>
            <w:r w:rsidRPr="009D05CA">
              <w:rPr>
                <w:rFonts w:eastAsia="Calibri"/>
              </w:rPr>
              <w:t>Luminária na cor azul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D3FF2B" w14:textId="641B489F" w:rsidR="009D05CA" w:rsidRDefault="009D05CA" w:rsidP="00032FA8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F0DBBA" w14:textId="77777777" w:rsidR="009D05CA" w:rsidRPr="00320BB2" w:rsidRDefault="009D05CA" w:rsidP="00032FA8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3"/>
    </w:tbl>
    <w:p w14:paraId="55B896CC" w14:textId="4F1B3216" w:rsidR="0076251E" w:rsidRPr="009D05CA" w:rsidRDefault="0076251E" w:rsidP="00032FA8">
      <w:pPr>
        <w:spacing w:line="259" w:lineRule="auto"/>
        <w:jc w:val="left"/>
      </w:pPr>
    </w:p>
    <w:sectPr w:rsidR="0076251E" w:rsidRPr="009D05CA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AE285" w14:textId="77777777" w:rsidR="00CE615F" w:rsidRDefault="00CE61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CE615F">
      <w:trPr>
        <w:trHeight w:val="454"/>
      </w:trPr>
      <w:tc>
        <w:tcPr>
          <w:tcW w:w="2838" w:type="dxa"/>
          <w:vAlign w:val="center"/>
        </w:tcPr>
        <w:p w14:paraId="6016363D" w14:textId="3860BF3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E615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CE615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AECA53" w14:textId="77777777" w:rsidR="00CE615F" w:rsidRDefault="00CE61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DAF24D" w14:textId="77777777" w:rsidR="00CE615F" w:rsidRDefault="00CE61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CE615F">
      <w:trPr>
        <w:trHeight w:val="369"/>
      </w:trPr>
      <w:tc>
        <w:tcPr>
          <w:tcW w:w="963" w:type="dxa"/>
          <w:vMerge w:val="restart"/>
        </w:tcPr>
        <w:p w14:paraId="63EDE0D4" w14:textId="03AA7F21" w:rsidR="00892515" w:rsidRDefault="0053322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EDBCD09" wp14:editId="1155B283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CE615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376D02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E615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DD7D66" w14:textId="77777777" w:rsidR="00CE615F" w:rsidRDefault="00CE61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91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2FA8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87CD2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222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E615F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913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F2B9B-C38D-450C-940F-92C3ACB65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55</cp:revision>
  <cp:lastPrinted>2020-07-13T12:32:00Z</cp:lastPrinted>
  <dcterms:created xsi:type="dcterms:W3CDTF">2021-02-17T17:01:00Z</dcterms:created>
  <dcterms:modified xsi:type="dcterms:W3CDTF">2022-07-15T16:59:00Z</dcterms:modified>
</cp:coreProperties>
</file>