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6172200" cy="8728401"/>
            <wp:docPr id="19" name="Picture 19"/>
            <wp:cNvGraphicFramePr>
              <a:graphicFrameLocks noChangeAspect="1"/>
            </wp:cNvGraphicFramePr>
            <a:graphic>
              <a:graphicData uri="http://schemas.openxmlformats.org/drawingml/2006/picture">
                <pic:pic>
                  <pic:nvPicPr>
                    <pic:cNvPr id="0" name="customer_engagement_cover.png"/>
                    <pic:cNvPicPr/>
                  </pic:nvPicPr>
                  <pic:blipFill>
                    <a:blip r:embed="rId27"/>
                    <a:stretch>
                      <a:fillRect/>
                    </a:stretch>
                  </pic:blipFill>
                  <pic:spPr>
                    <a:xfrm>
                      <a:off x="0" y="0"/>
                      <a:ext cx="6172200" cy="8728401"/>
                    </a:xfrm>
                    <a:prstGeom prst="rect"/>
                  </pic:spPr>
                </pic:pic>
              </a:graphicData>
            </a:graphic>
          </wp:inline>
        </w:drawing>
        <w:br w:type="page"/>
      </w:r>
    </w:p>
    <w:p>
      <w:pPr>
        <w:pStyle w:val="Heading1"/>
        <w:keepNext/>
        <w:pBdr>
          <w:bottom w:val="single" w:sz="10" w:space="4" w:color="FF8016"/>
        </w:pBdr>
      </w:pPr>
      <w:r>
        <w:rPr>
          <w:rFonts w:ascii="Cambria" w:hAnsi="Cambria" w:eastAsia="Cambria" w:cs="Cambria"/>
          <w:b/>
          <w:color w:val="FF8016"/>
          <w:sz w:val="32"/>
        </w:rPr>
        <w:t>Disclaimer</w:t>
      </w:r>
    </w:p>
    <w:p>
      <w:r>
        <w:rPr>
          <w:rFonts w:ascii="Cambria" w:hAnsi="Cambria" w:eastAsia="Cambria" w:cs="Cambria"/>
          <w:color w:val="555555"/>
          <w:sz w:val="21"/>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r>
        <w:rPr>
          <w:rFonts w:ascii="Cambria" w:hAnsi="Cambria" w:eastAsia="Cambria" w:cs="Cambria"/>
          <w:color w:val="555555"/>
          <w:sz w:val="21"/>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Date</w:t>
            </w:r>
          </w:p>
        </w:tc>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Version</w:t>
            </w:r>
          </w:p>
        </w:tc>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Author</w:t>
            </w:r>
          </w:p>
        </w:tc>
        <w:tc>
          <w:tcPr>
            <w:tcW w:type="dxa" w:w="2257"/>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Review</w:t>
            </w:r>
          </w:p>
        </w:tc>
      </w:tr>
      <w:tr>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27/05/2026</w:t>
            </w:r>
          </w:p>
        </w:tc>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1.0</w:t>
            </w:r>
          </w:p>
        </w:tc>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Retail Consult</w:t>
            </w:r>
          </w:p>
        </w:tc>
        <w:tc>
          <w:tcPr>
            <w:tcW w:type="dxa" w:w="2257"/>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Initial Version</w:t>
            </w:r>
          </w:p>
        </w:tc>
      </w:tr>
    </w:tbl>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Table of Contents</w:t>
      </w:r>
    </w:p>
    <w:p>
      <w:r>
        <w:rPr>
          <w:rFonts w:ascii="Cambria" w:hAnsi="Cambria" w:eastAsia="Cambria" w:cs="Cambria"/>
          <w:color w:val="555555"/>
          <w:sz w:val="21"/>
        </w:rPr>
        <w:fldChar w:fldCharType="begin"/>
        <w:instrText xml:space="preserve">TOC \o "1-3" \h \z \u</w:instrText>
        <w:fldChar w:fldCharType="end"/>
      </w:r>
    </w:p>
    <w:p>
      <w:pPr>
        <w:spacing w:line="252" w:lineRule="auto"/>
        <w:jc w:val="left"/>
      </w:pPr>
      <w:r>
        <w:rPr>
          <w:rFonts w:ascii="Cambria" w:hAnsi="Cambria" w:eastAsia="Cambria" w:cs="Cambria"/>
          <w:color w:val="555555"/>
          <w:sz w:val="21"/>
        </w:rPr>
        <w:t>Disclaimer</w:t>
        <w:br/>
        <w:t>Change Control</w:t>
        <w:br/>
        <w:t>Document Legend</w:t>
        <w:br/>
        <w:t>Customer Engagement</w:t>
        <w:br/>
        <w:t>1. Customers &amp; Segmentation</w:t>
        <w:br/>
        <w:t xml:space="preserve">    1.1 Customer Dashboard</w:t>
        <w:br/>
        <w:t xml:space="preserve">    1.2 Customer Profile &amp; Information</w:t>
        <w:br/>
        <w:t xml:space="preserve">    1.3 Activity &amp; Purchase Profile</w:t>
        <w:br/>
        <w:t xml:space="preserve">    1.4 Loyalty Visibility</w:t>
        <w:br/>
        <w:t xml:space="preserve">    1.5 Customer Segmentation</w:t>
        <w:br/>
        <w:t xml:space="preserve">    1.6 Stratified Segments</w:t>
        <w:br/>
        <w:t>2. Promotions &amp; Offers</w:t>
        <w:br/>
        <w:t xml:space="preserve">    2.1 Campaign &amp; Promotion Management</w:t>
        <w:br/>
        <w:t xml:space="preserve">    2.2 Promotion Types</w:t>
        <w:br/>
        <w:t xml:space="preserve">    2.3 Offers &amp; Discount Structures</w:t>
        <w:br/>
        <w:t xml:space="preserve">    2.4 Coupons</w:t>
        <w:br/>
        <w:t xml:space="preserve">    2.5 Targeted &amp; Personalized Promotions</w:t>
        <w:br/>
        <w:t xml:space="preserve">    2.6 Promotion &amp; Offer Scorecards</w:t>
        <w:br/>
        <w:t>3. Loyalty &amp; Awards</w:t>
        <w:br/>
        <w:t xml:space="preserve">    3.1 Loyalty Program &amp; Levels</w:t>
        <w:br/>
        <w:t xml:space="preserve">    3.2 Issue Rules — Earning Points</w:t>
        <w:br/>
        <w:t xml:space="preserve">    3.3 Marketing Engagement Points</w:t>
        <w:br/>
        <w:t xml:space="preserve">    3.4 Movement Rules — Tier Progression</w:t>
        <w:br/>
        <w:t xml:space="preserve">    3.5 Awards &amp; Rewards</w:t>
        <w:br/>
        <w:t xml:space="preserve">    3.6 Returns &amp; Point Deduction</w:t>
        <w:br/>
        <w:t>Open Points &amp; Decisions Tracker</w:t>
        <w:br/>
        <w:t>Appendix</w:t>
        <w:br/>
        <w:t>Glossary</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Document Legend</w:t>
      </w:r>
    </w:p>
    <w:p>
      <w:r>
        <w:rPr>
          <w:rFonts w:ascii="Cambria" w:hAnsi="Cambria" w:eastAsia="Cambria" w:cs="Cambria"/>
          <w:color w:val="555555"/>
          <w:sz w:val="21"/>
        </w:rPr>
        <w:t>Throughout this document, important pieces of information are highlighted using the following coloured callout boxes:</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R.0: </w:t>
            </w:r>
            <w:r>
              <w:rPr>
                <w:rFonts w:ascii="Cambria" w:hAnsi="Cambria" w:eastAsia="Cambria" w:cs="Cambria"/>
                <w:color w:val="000000"/>
                <w:sz w:val="19"/>
              </w:rPr>
              <w:t>Requirements identified are highlighted in blue.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D.0: </w:t>
            </w:r>
            <w:r>
              <w:rPr>
                <w:rFonts w:ascii="Cambria" w:hAnsi="Cambria" w:eastAsia="Cambria" w:cs="Cambria"/>
                <w:color w:val="000000"/>
                <w:sz w:val="19"/>
              </w:rPr>
              <w:t>Decisions taken are highlighted in orange.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A.0: </w:t>
            </w:r>
            <w:r>
              <w:rPr>
                <w:rFonts w:ascii="Cambria" w:hAnsi="Cambria" w:eastAsia="Cambria" w:cs="Cambria"/>
                <w:color w:val="000000"/>
                <w:sz w:val="19"/>
              </w:rPr>
              <w:t>Assumptions made are highlighted in green.</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Customer Engagement</w:t>
      </w:r>
    </w:p>
    <w:p>
      <w:r>
        <w:rPr>
          <w:rFonts w:ascii="Cambria" w:hAnsi="Cambria" w:eastAsia="Cambria" w:cs="Cambria"/>
          <w:color w:val="555555"/>
          <w:sz w:val="21"/>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r>
        <w:rPr>
          <w:rFonts w:ascii="Cambria" w:hAnsi="Cambria" w:eastAsia="Cambria" w:cs="Cambria"/>
          <w:color w:val="555555"/>
          <w:sz w:val="21"/>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1. Customers &amp; Segmentation</w:t>
      </w:r>
    </w:p>
    <w:p>
      <w:r>
        <w:rPr>
          <w:rFonts w:ascii="Cambria" w:hAnsi="Cambria" w:eastAsia="Cambria" w:cs="Cambria"/>
          <w:color w:val="555555"/>
          <w:sz w:val="21"/>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keepNext/>
        <w:pBdr>
          <w:bottom w:val="single" w:sz="6" w:space="4" w:color="E2E0DD"/>
        </w:pBdr>
      </w:pPr>
      <w:r>
        <w:rPr>
          <w:rFonts w:ascii="Cambria" w:hAnsi="Cambria" w:eastAsia="Cambria" w:cs="Cambria"/>
          <w:b/>
          <w:color w:val="555555"/>
          <w:sz w:val="26"/>
        </w:rPr>
        <w:t>1.1 Customer Dashboard</w:t>
      </w:r>
    </w:p>
    <w:p>
      <w:r>
        <w:rPr>
          <w:rFonts w:ascii="Cambria" w:hAnsi="Cambria" w:eastAsia="Cambria" w:cs="Cambria"/>
          <w:color w:val="555555"/>
          <w:sz w:val="21"/>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404665"/>
            <wp:docPr id="1" name="Picture 1"/>
            <wp:cNvGraphicFramePr>
              <a:graphicFrameLocks noChangeAspect="1"/>
            </wp:cNvGraphicFramePr>
            <a:graphic>
              <a:graphicData uri="http://schemas.openxmlformats.org/drawingml/2006/picture">
                <pic:pic>
                  <pic:nvPicPr>
                    <pic:cNvPr id="0" name="ca_dashboard_0.png"/>
                    <pic:cNvPicPr/>
                  </pic:nvPicPr>
                  <pic:blipFill>
                    <a:blip r:embed="rId9"/>
                    <a:stretch>
                      <a:fillRect/>
                    </a:stretch>
                  </pic:blipFill>
                  <pic:spPr>
                    <a:xfrm>
                      <a:off x="0" y="0"/>
                      <a:ext cx="5029200" cy="2404665"/>
                    </a:xfrm>
                    <a:prstGeom prst="rect"/>
                  </pic:spPr>
                </pic:pic>
              </a:graphicData>
            </a:graphic>
          </wp:inline>
        </w:drawing>
      </w:r>
    </w:p>
    <w:p>
      <w:pPr>
        <w:spacing w:before="60" w:after="200"/>
        <w:jc w:val="center"/>
      </w:pPr>
      <w:r>
        <w:rPr>
          <w:rFonts w:ascii="Cambria" w:hAnsi="Cambria" w:eastAsia="Cambria" w:cs="Cambria"/>
          <w:i/>
          <w:color w:val="555555"/>
          <w:sz w:val="18"/>
        </w:rPr>
        <w:t>Figure 1 — Customer Dashboard — the consolidated 360° view in ORCE</w:t>
      </w:r>
    </w:p>
    <w:p>
      <w:r>
        <w:rPr>
          <w:rFonts w:ascii="Cambria" w:hAnsi="Cambria" w:eastAsia="Cambria" w:cs="Cambria"/>
          <w:color w:val="555555"/>
          <w:sz w:val="21"/>
        </w:rPr>
        <w:t>The dashboard is organised in panels that surface different facets of the customer:</w:t>
      </w:r>
    </w:p>
    <w:p>
      <w:pPr>
        <w:pStyle w:val="ListBullet"/>
      </w:pPr>
      <w:r>
        <w:rPr>
          <w:rFonts w:ascii="Cambria" w:hAnsi="Cambria" w:eastAsia="Cambria" w:cs="Cambria"/>
          <w:color w:val="555555"/>
          <w:sz w:val="21"/>
        </w:rPr>
        <w:t>Customer Information and Attributes</w:t>
      </w:r>
    </w:p>
    <w:p>
      <w:pPr>
        <w:pStyle w:val="ListBullet"/>
      </w:pPr>
      <w:r>
        <w:rPr>
          <w:rFonts w:ascii="Cambria" w:hAnsi="Cambria" w:eastAsia="Cambria" w:cs="Cambria"/>
          <w:color w:val="555555"/>
          <w:sz w:val="21"/>
        </w:rPr>
        <w:t>Activity timeline — recent transactions and tasks</w:t>
      </w:r>
    </w:p>
    <w:p>
      <w:pPr>
        <w:pStyle w:val="ListBullet"/>
      </w:pPr>
      <w:r>
        <w:rPr>
          <w:rFonts w:ascii="Cambria" w:hAnsi="Cambria" w:eastAsia="Cambria" w:cs="Cambria"/>
          <w:color w:val="555555"/>
          <w:sz w:val="21"/>
        </w:rPr>
        <w:t>Purchase Profile — purchase pattern by revenue centre and department</w:t>
      </w:r>
    </w:p>
    <w:p>
      <w:pPr>
        <w:pStyle w:val="ListBullet"/>
      </w:pPr>
      <w:r>
        <w:rPr>
          <w:rFonts w:ascii="Cambria" w:hAnsi="Cambria" w:eastAsia="Cambria" w:cs="Cambria"/>
          <w:color w:val="555555"/>
          <w:sz w:val="21"/>
        </w:rPr>
        <w:t>Cards, Loyalty Programs, Awards, Offers and Promotions</w:t>
      </w:r>
    </w:p>
    <w:p>
      <w:pPr>
        <w:pStyle w:val="ListBullet"/>
      </w:pPr>
      <w:r>
        <w:rPr>
          <w:rFonts w:ascii="Cambria" w:hAnsi="Cambria" w:eastAsia="Cambria" w:cs="Cambria"/>
          <w:color w:val="555555"/>
          <w:sz w:val="21"/>
        </w:rPr>
        <w:t>Segments and Stratified Segments</w:t>
      </w:r>
    </w:p>
    <w:p>
      <w:pPr>
        <w:pStyle w:val="ListBullet"/>
      </w:pPr>
      <w:r>
        <w:rPr>
          <w:rFonts w:ascii="Cambria" w:hAnsi="Cambria" w:eastAsia="Cambria" w:cs="Cambria"/>
          <w:color w:val="555555"/>
          <w:sz w:val="21"/>
        </w:rPr>
        <w:t>Customer Household, Notes and Tasks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 </w:t>
            </w:r>
            <w:r>
              <w:rPr>
                <w:rFonts w:ascii="Cambria" w:hAnsi="Cambria" w:eastAsia="Cambria" w:cs="Cambria"/>
                <w:color w:val="000000"/>
                <w:sz w:val="19"/>
              </w:rPr>
              <w:t>Store associates will use the Customer Dashboard as the primary clienteling screen across stores in the USA and Canada.</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 </w:t>
            </w:r>
            <w:r>
              <w:rPr>
                <w:rFonts w:ascii="Cambria" w:hAnsi="Cambria" w:eastAsia="Cambria" w:cs="Cambria"/>
                <w:color w:val="000000"/>
                <w:sz w:val="19"/>
              </w:rPr>
              <w:t>A single 360° customer view must be available to associates and back-office users.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 </w:t>
            </w:r>
            <w:r>
              <w:rPr>
                <w:rFonts w:ascii="Cambria" w:hAnsi="Cambria" w:eastAsia="Cambria" w:cs="Cambria"/>
                <w:color w:val="000000"/>
                <w:sz w:val="19"/>
              </w:rPr>
              <w:t>Dashboard panels visibility per user role to be aligned with Claire's security model.</w:t>
            </w:r>
          </w:p>
        </w:tc>
      </w:tr>
    </w:tbl>
    <w:p/>
    <w:p>
      <w:pPr>
        <w:pStyle w:val="Heading2"/>
        <w:keepNext/>
        <w:pBdr>
          <w:bottom w:val="single" w:sz="6" w:space="4" w:color="E2E0DD"/>
        </w:pBdr>
      </w:pPr>
      <w:r>
        <w:rPr>
          <w:rFonts w:ascii="Cambria" w:hAnsi="Cambria" w:eastAsia="Cambria" w:cs="Cambria"/>
          <w:b/>
          <w:color w:val="555555"/>
          <w:sz w:val="26"/>
        </w:rPr>
        <w:t>1.2 Customer Profile &amp; Information</w:t>
      </w:r>
    </w:p>
    <w:p>
      <w:r>
        <w:rPr>
          <w:rFonts w:ascii="Cambria" w:hAnsi="Cambria" w:eastAsia="Cambria" w:cs="Cambria"/>
          <w:color w:val="555555"/>
          <w:sz w:val="21"/>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3967696"/>
            <wp:docPr id="2" name="Picture 2"/>
            <wp:cNvGraphicFramePr>
              <a:graphicFrameLocks noChangeAspect="1"/>
            </wp:cNvGraphicFramePr>
            <a:graphic>
              <a:graphicData uri="http://schemas.openxmlformats.org/drawingml/2006/picture">
                <pic:pic>
                  <pic:nvPicPr>
                    <pic:cNvPr id="0" name="ca_profile_0.png"/>
                    <pic:cNvPicPr/>
                  </pic:nvPicPr>
                  <pic:blipFill>
                    <a:blip r:embed="rId10"/>
                    <a:stretch>
                      <a:fillRect/>
                    </a:stretch>
                  </pic:blipFill>
                  <pic:spPr>
                    <a:xfrm>
                      <a:off x="0" y="0"/>
                      <a:ext cx="5029200" cy="3967696"/>
                    </a:xfrm>
                    <a:prstGeom prst="rect"/>
                  </pic:spPr>
                </pic:pic>
              </a:graphicData>
            </a:graphic>
          </wp:inline>
        </w:drawing>
      </w:r>
    </w:p>
    <w:p>
      <w:pPr>
        <w:spacing w:before="60" w:after="200"/>
        <w:jc w:val="center"/>
      </w:pPr>
      <w:r>
        <w:rPr>
          <w:rFonts w:ascii="Cambria" w:hAnsi="Cambria" w:eastAsia="Cambria" w:cs="Cambria"/>
          <w:i/>
          <w:color w:val="555555"/>
          <w:sz w:val="18"/>
        </w:rPr>
        <w:t>Figure 2 — Customer Information panel — profile, contact data and preferences</w:t>
      </w:r>
    </w:p>
    <w:p>
      <w:r>
        <w:rPr>
          <w:rFonts w:ascii="Cambria" w:hAnsi="Cambria" w:eastAsia="Cambria" w:cs="Cambria"/>
          <w:color w:val="555555"/>
          <w:sz w:val="21"/>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A.2: </w:t>
            </w:r>
            <w:r>
              <w:rPr>
                <w:rFonts w:ascii="Cambria" w:hAnsi="Cambria" w:eastAsia="Cambria" w:cs="Cambria"/>
                <w:color w:val="000000"/>
                <w:sz w:val="19"/>
              </w:rPr>
              <w:t>The customer master is created and maintained primarily through POS, with online sign-up adding additional records.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R.2: </w:t>
            </w:r>
            <w:r>
              <w:rPr>
                <w:rFonts w:ascii="Cambria" w:hAnsi="Cambria" w:eastAsia="Cambria" w:cs="Cambria"/>
                <w:color w:val="000000"/>
                <w:sz w:val="19"/>
              </w:rPr>
              <w:t>Capture contact data, communication preferences and consent (email / SMS / mail) for every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D.2: </w:t>
            </w:r>
            <w:r>
              <w:rPr>
                <w:rFonts w:ascii="Cambria" w:hAnsi="Cambria" w:eastAsia="Cambria" w:cs="Cambria"/>
                <w:color w:val="000000"/>
                <w:sz w:val="19"/>
              </w:rPr>
              <w:t>Customer merge strategy and data-quality ownership to be defined with the marketing team.</w:t>
            </w:r>
          </w:p>
        </w:tc>
      </w:tr>
    </w:tbl>
    <w:p/>
    <w:p>
      <w:pPr>
        <w:pStyle w:val="Heading2"/>
        <w:keepNext/>
        <w:pBdr>
          <w:bottom w:val="single" w:sz="6" w:space="4" w:color="E2E0DD"/>
        </w:pBdr>
      </w:pPr>
      <w:r>
        <w:rPr>
          <w:rFonts w:ascii="Cambria" w:hAnsi="Cambria" w:eastAsia="Cambria" w:cs="Cambria"/>
          <w:b/>
          <w:color w:val="555555"/>
          <w:sz w:val="26"/>
        </w:rPr>
        <w:t>1.3 Activity &amp; Purchase Profile</w:t>
      </w:r>
    </w:p>
    <w:p>
      <w:r>
        <w:rPr>
          <w:rFonts w:ascii="Cambria" w:hAnsi="Cambria" w:eastAsia="Cambria" w:cs="Cambria"/>
          <w:color w:val="555555"/>
          <w:sz w:val="21"/>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803735"/>
            <wp:docPr id="3" name="Picture 3"/>
            <wp:cNvGraphicFramePr>
              <a:graphicFrameLocks noChangeAspect="1"/>
            </wp:cNvGraphicFramePr>
            <a:graphic>
              <a:graphicData uri="http://schemas.openxmlformats.org/drawingml/2006/picture">
                <pic:pic>
                  <pic:nvPicPr>
                    <pic:cNvPr id="0" name="ca_purchase_0.png"/>
                    <pic:cNvPicPr/>
                  </pic:nvPicPr>
                  <pic:blipFill>
                    <a:blip r:embed="rId11"/>
                    <a:stretch>
                      <a:fillRect/>
                    </a:stretch>
                  </pic:blipFill>
                  <pic:spPr>
                    <a:xfrm>
                      <a:off x="0" y="0"/>
                      <a:ext cx="5029200" cy="2803735"/>
                    </a:xfrm>
                    <a:prstGeom prst="rect"/>
                  </pic:spPr>
                </pic:pic>
              </a:graphicData>
            </a:graphic>
          </wp:inline>
        </w:drawing>
      </w:r>
    </w:p>
    <w:p>
      <w:pPr>
        <w:spacing w:before="60" w:after="200"/>
        <w:jc w:val="center"/>
      </w:pPr>
      <w:r>
        <w:rPr>
          <w:rFonts w:ascii="Cambria" w:hAnsi="Cambria" w:eastAsia="Cambria" w:cs="Cambria"/>
          <w:i/>
          <w:color w:val="555555"/>
          <w:sz w:val="18"/>
        </w:rPr>
        <w:t>Figure 3 — Purchase Profile — purchase pattern by department over a rolling multi-year view</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A.3: </w:t>
            </w:r>
            <w:r>
              <w:rPr>
                <w:rFonts w:ascii="Cambria" w:hAnsi="Cambria" w:eastAsia="Cambria" w:cs="Cambria"/>
                <w:color w:val="000000"/>
                <w:sz w:val="19"/>
              </w:rPr>
              <w:t>Transaction history is fed to ORCE from POS in near real time via the POSLog integration.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R.3: </w:t>
            </w:r>
            <w:r>
              <w:rPr>
                <w:rFonts w:ascii="Cambria" w:hAnsi="Cambria" w:eastAsia="Cambria" w:cs="Cambria"/>
                <w:color w:val="000000"/>
                <w:sz w:val="19"/>
              </w:rPr>
              <w:t>Purchase profile and return percentage visible at customer level for clienteling and segmentation.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D.3: </w:t>
            </w:r>
            <w:r>
              <w:rPr>
                <w:rFonts w:ascii="Cambria" w:hAnsi="Cambria" w:eastAsia="Cambria" w:cs="Cambria"/>
                <w:color w:val="000000"/>
                <w:sz w:val="19"/>
              </w:rPr>
              <w:t>Required history retention period for the purchase profile to be defined.</w:t>
            </w:r>
          </w:p>
        </w:tc>
      </w:tr>
    </w:tbl>
    <w:p/>
    <w:p>
      <w:pPr>
        <w:pStyle w:val="Heading2"/>
        <w:keepNext/>
        <w:pBdr>
          <w:bottom w:val="single" w:sz="6" w:space="4" w:color="E2E0DD"/>
        </w:pBdr>
      </w:pPr>
      <w:r>
        <w:rPr>
          <w:rFonts w:ascii="Cambria" w:hAnsi="Cambria" w:eastAsia="Cambria" w:cs="Cambria"/>
          <w:b/>
          <w:color w:val="555555"/>
          <w:sz w:val="26"/>
        </w:rPr>
        <w:t>1.4 Loyalty Visibility</w:t>
      </w:r>
    </w:p>
    <w:p>
      <w:r>
        <w:rPr>
          <w:rFonts w:ascii="Cambria" w:hAnsi="Cambria" w:eastAsia="Cambria" w:cs="Cambria"/>
          <w:color w:val="555555"/>
          <w:sz w:val="21"/>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4526280"/>
            <wp:docPr id="4" name="Picture 4"/>
            <wp:cNvGraphicFramePr>
              <a:graphicFrameLocks noChangeAspect="1"/>
            </wp:cNvGraphicFramePr>
            <a:graphic>
              <a:graphicData uri="http://schemas.openxmlformats.org/drawingml/2006/picture">
                <pic:pic>
                  <pic:nvPicPr>
                    <pic:cNvPr id="0" name="ca_cards_0.png"/>
                    <pic:cNvPicPr/>
                  </pic:nvPicPr>
                  <pic:blipFill>
                    <a:blip r:embed="rId12"/>
                    <a:stretch>
                      <a:fillRect/>
                    </a:stretch>
                  </pic:blipFill>
                  <pic:spPr>
                    <a:xfrm>
                      <a:off x="0" y="0"/>
                      <a:ext cx="5029200" cy="4526280"/>
                    </a:xfrm>
                    <a:prstGeom prst="rect"/>
                  </pic:spPr>
                </pic:pic>
              </a:graphicData>
            </a:graphic>
          </wp:inline>
        </w:drawing>
      </w:r>
    </w:p>
    <w:p>
      <w:pPr>
        <w:spacing w:before="60" w:after="200"/>
        <w:jc w:val="center"/>
      </w:pPr>
      <w:r>
        <w:rPr>
          <w:rFonts w:ascii="Cambria" w:hAnsi="Cambria" w:eastAsia="Cambria" w:cs="Cambria"/>
          <w:i/>
          <w:color w:val="555555"/>
          <w:sz w:val="18"/>
        </w:rPr>
        <w:t>Figure 4 — Cards and Programs panel — loyalty cards, level and points balance</w:t>
      </w:r>
    </w:p>
    <w:p>
      <w:r>
        <w:rPr>
          <w:rFonts w:ascii="Cambria" w:hAnsi="Cambria" w:eastAsia="Cambria" w:cs="Cambria"/>
          <w:color w:val="555555"/>
          <w:sz w:val="21"/>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D.4: </w:t>
            </w:r>
            <w:r>
              <w:rPr>
                <w:rFonts w:ascii="Cambria" w:hAnsi="Cambria" w:eastAsia="Cambria" w:cs="Cambria"/>
                <w:color w:val="000000"/>
                <w:sz w:val="19"/>
              </w:rPr>
              <w:t>USA and Canada operate as separate loyalty programs sharing the same design (levels, rules, awards).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R.4: </w:t>
            </w:r>
            <w:r>
              <w:rPr>
                <w:rFonts w:ascii="Cambria" w:hAnsi="Cambria" w:eastAsia="Cambria" w:cs="Cambria"/>
                <w:color w:val="000000"/>
                <w:sz w:val="19"/>
              </w:rPr>
              <w:t>Points balance, level and awards visible on the Customer Dashboard; point deduction applied on verified returns.</w:t>
            </w:r>
          </w:p>
        </w:tc>
      </w:tr>
    </w:tbl>
    <w:p/>
    <w:p>
      <w:pPr>
        <w:pStyle w:val="Heading2"/>
        <w:keepNext/>
        <w:pBdr>
          <w:bottom w:val="single" w:sz="6" w:space="4" w:color="E2E0DD"/>
        </w:pBdr>
      </w:pPr>
      <w:r>
        <w:rPr>
          <w:rFonts w:ascii="Cambria" w:hAnsi="Cambria" w:eastAsia="Cambria" w:cs="Cambria"/>
          <w:b/>
          <w:color w:val="555555"/>
          <w:sz w:val="26"/>
        </w:rPr>
        <w:t>1.5 Customer Segmentation</w:t>
      </w:r>
    </w:p>
    <w:p>
      <w:r>
        <w:rPr>
          <w:rFonts w:ascii="Cambria" w:hAnsi="Cambria" w:eastAsia="Cambria" w:cs="Cambria"/>
          <w:color w:val="555555"/>
          <w:sz w:val="21"/>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105160"/>
            <wp:docPr id="5" name="Picture 5"/>
            <wp:cNvGraphicFramePr>
              <a:graphicFrameLocks noChangeAspect="1"/>
            </wp:cNvGraphicFramePr>
            <a:graphic>
              <a:graphicData uri="http://schemas.openxmlformats.org/drawingml/2006/picture">
                <pic:pic>
                  <pic:nvPicPr>
                    <pic:cNvPr id="0" name="ca_segmcriteria_0.png"/>
                    <pic:cNvPicPr/>
                  </pic:nvPicPr>
                  <pic:blipFill>
                    <a:blip r:embed="rId13"/>
                    <a:stretch>
                      <a:fillRect/>
                    </a:stretch>
                  </pic:blipFill>
                  <pic:spPr>
                    <a:xfrm>
                      <a:off x="0" y="0"/>
                      <a:ext cx="5029200" cy="2105160"/>
                    </a:xfrm>
                    <a:prstGeom prst="rect"/>
                  </pic:spPr>
                </pic:pic>
              </a:graphicData>
            </a:graphic>
          </wp:inline>
        </w:drawing>
      </w:r>
    </w:p>
    <w:p>
      <w:pPr>
        <w:spacing w:before="60" w:after="200"/>
        <w:jc w:val="center"/>
      </w:pPr>
      <w:r>
        <w:rPr>
          <w:rFonts w:ascii="Cambria" w:hAnsi="Cambria" w:eastAsia="Cambria" w:cs="Cambria"/>
          <w:i/>
          <w:color w:val="555555"/>
          <w:sz w:val="18"/>
        </w:rPr>
        <w:t>Figure 5 — Build Segment Query — segment criteria categories in ORCE</w:t>
      </w:r>
    </w:p>
    <w:p>
      <w:r>
        <w:rPr>
          <w:rFonts w:ascii="Cambria" w:hAnsi="Cambria" w:eastAsia="Cambria" w:cs="Cambria"/>
          <w:color w:val="555555"/>
          <w:sz w:val="21"/>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r>
        <w:rPr>
          <w:rFonts w:ascii="Cambria" w:hAnsi="Cambria" w:eastAsia="Cambria" w:cs="Cambria"/>
          <w:color w:val="555555"/>
          <w:sz w:val="21"/>
        </w:rPr>
        <w:t>Segments can drive campaign and award eligibility; they are attached to promotions to filter who receives the promotion. Refresh frequency is controlled per segment (segment refresh batch).</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R.5: </w:t>
            </w:r>
            <w:r>
              <w:rPr>
                <w:rFonts w:ascii="Cambria" w:hAnsi="Cambria" w:eastAsia="Cambria" w:cs="Cambria"/>
                <w:color w:val="000000"/>
                <w:sz w:val="19"/>
              </w:rPr>
              <w:t>Segmentation by tier, sign-up store, products purchased (Ear Piercing SKU), rewards held, recency of engagement.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D.5: </w:t>
            </w:r>
            <w:r>
              <w:rPr>
                <w:rFonts w:ascii="Cambria" w:hAnsi="Cambria" w:eastAsia="Cambria" w:cs="Cambria"/>
                <w:color w:val="000000"/>
                <w:sz w:val="19"/>
              </w:rPr>
              <w:t>Segments are owned and maintained by the marketing team.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A.4: </w:t>
            </w:r>
            <w:r>
              <w:rPr>
                <w:rFonts w:ascii="Cambria" w:hAnsi="Cambria" w:eastAsia="Cambria" w:cs="Cambria"/>
                <w:color w:val="000000"/>
                <w:sz w:val="19"/>
              </w:rPr>
              <w:t>Segment refresh runs on a defined schedule (typically daily) to keep populations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R.6: </w:t>
            </w:r>
            <w:r>
              <w:rPr>
                <w:rFonts w:ascii="Cambria" w:hAnsi="Cambria" w:eastAsia="Cambria" w:cs="Cambria"/>
                <w:color w:val="000000"/>
                <w:sz w:val="19"/>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keepNext/>
        <w:pBdr>
          <w:bottom w:val="single" w:sz="6" w:space="4" w:color="E2E0DD"/>
        </w:pBdr>
      </w:pPr>
      <w:r>
        <w:rPr>
          <w:rFonts w:ascii="Cambria" w:hAnsi="Cambria" w:eastAsia="Cambria" w:cs="Cambria"/>
          <w:b/>
          <w:color w:val="555555"/>
          <w:sz w:val="26"/>
        </w:rPr>
        <w:t>1.6 Stratified Segments</w:t>
      </w:r>
    </w:p>
    <w:p>
      <w:r>
        <w:rPr>
          <w:rFonts w:ascii="Cambria" w:hAnsi="Cambria" w:eastAsia="Cambria" w:cs="Cambria"/>
          <w:color w:val="555555"/>
          <w:sz w:val="21"/>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312640"/>
            <wp:docPr id="6" name="Picture 6"/>
            <wp:cNvGraphicFramePr>
              <a:graphicFrameLocks noChangeAspect="1"/>
            </wp:cNvGraphicFramePr>
            <a:graphic>
              <a:graphicData uri="http://schemas.openxmlformats.org/drawingml/2006/picture">
                <pic:pic>
                  <pic:nvPicPr>
                    <pic:cNvPr id="0" name="claire_stratified.png"/>
                    <pic:cNvPicPr/>
                  </pic:nvPicPr>
                  <pic:blipFill>
                    <a:blip r:embed="rId14"/>
                    <a:stretch>
                      <a:fillRect/>
                    </a:stretch>
                  </pic:blipFill>
                  <pic:spPr>
                    <a:xfrm>
                      <a:off x="0" y="0"/>
                      <a:ext cx="5029200" cy="2312640"/>
                    </a:xfrm>
                    <a:prstGeom prst="rect"/>
                  </pic:spPr>
                </pic:pic>
              </a:graphicData>
            </a:graphic>
          </wp:inline>
        </w:drawing>
      </w:r>
    </w:p>
    <w:p>
      <w:pPr>
        <w:spacing w:before="60" w:after="200"/>
        <w:jc w:val="center"/>
      </w:pPr>
      <w:r>
        <w:rPr>
          <w:rFonts w:ascii="Cambria" w:hAnsi="Cambria" w:eastAsia="Cambria" w:cs="Cambria"/>
          <w:i/>
          <w:color w:val="555555"/>
          <w:sz w:val="18"/>
        </w:rPr>
        <w:t>Figure 6 — Create Segment — the Strata Query step for stratified segments</w:t>
      </w:r>
    </w:p>
    <w:p>
      <w:r>
        <w:rPr>
          <w:rFonts w:ascii="Cambria" w:hAnsi="Cambria" w:eastAsia="Cambria" w:cs="Cambria"/>
          <w:color w:val="555555"/>
          <w:sz w:val="21"/>
        </w:rPr>
        <w:t>Stratified segments are useful for VIP tiering, spend-band analysis and differentiated customer treatment. Strata are visualised on the Customer Dashboard with gauges and charts, and N-Tile / Range Strata reports are available.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A.5: </w:t>
            </w:r>
            <w:r>
              <w:rPr>
                <w:rFonts w:ascii="Cambria" w:hAnsi="Cambria" w:eastAsia="Cambria" w:cs="Cambria"/>
                <w:color w:val="000000"/>
                <w:sz w:val="19"/>
              </w:rPr>
              <w:t>Stratified segments will be used for VIP tiering and spend-band analysis to support targeted campaigns.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D.6: </w:t>
            </w:r>
            <w:r>
              <w:rPr>
                <w:rFonts w:ascii="Cambria" w:hAnsi="Cambria" w:eastAsia="Cambria" w:cs="Cambria"/>
                <w:color w:val="000000"/>
                <w:sz w:val="19"/>
              </w:rPr>
              <w:t>Strata boundaries and refresh frequency to be defined per segment use case.</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2. Promotions &amp; Offers</w:t>
      </w:r>
    </w:p>
    <w:p>
      <w:r>
        <w:rPr>
          <w:rFonts w:ascii="Cambria" w:hAnsi="Cambria" w:eastAsia="Cambria" w:cs="Cambria"/>
          <w:color w:val="555555"/>
          <w:sz w:val="21"/>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keepNext/>
        <w:pBdr>
          <w:bottom w:val="single" w:sz="6" w:space="4" w:color="E2E0DD"/>
        </w:pBdr>
      </w:pPr>
      <w:r>
        <w:rPr>
          <w:rFonts w:ascii="Cambria" w:hAnsi="Cambria" w:eastAsia="Cambria" w:cs="Cambria"/>
          <w:b/>
          <w:color w:val="555555"/>
          <w:sz w:val="26"/>
        </w:rPr>
        <w:t>2.1 Campaign &amp; Promotion Management</w:t>
      </w:r>
    </w:p>
    <w:p>
      <w:r>
        <w:rPr>
          <w:rFonts w:ascii="Cambria" w:hAnsi="Cambria" w:eastAsia="Cambria" w:cs="Cambria"/>
          <w:color w:val="555555"/>
          <w:sz w:val="21"/>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103416"/>
            <wp:docPr id="7" name="Picture 7"/>
            <wp:cNvGraphicFramePr>
              <a:graphicFrameLocks noChangeAspect="1"/>
            </wp:cNvGraphicFramePr>
            <a:graphic>
              <a:graphicData uri="http://schemas.openxmlformats.org/drawingml/2006/picture">
                <pic:pic>
                  <pic:nvPicPr>
                    <pic:cNvPr id="0" name="po_promoscorecard.png"/>
                    <pic:cNvPicPr/>
                  </pic:nvPicPr>
                  <pic:blipFill>
                    <a:blip r:embed="rId15"/>
                    <a:stretch>
                      <a:fillRect/>
                    </a:stretch>
                  </pic:blipFill>
                  <pic:spPr>
                    <a:xfrm>
                      <a:off x="0" y="0"/>
                      <a:ext cx="5029200" cy="2103416"/>
                    </a:xfrm>
                    <a:prstGeom prst="rect"/>
                  </pic:spPr>
                </pic:pic>
              </a:graphicData>
            </a:graphic>
          </wp:inline>
        </w:drawing>
      </w:r>
    </w:p>
    <w:p>
      <w:pPr>
        <w:spacing w:before="60" w:after="200"/>
        <w:jc w:val="center"/>
      </w:pPr>
      <w:r>
        <w:rPr>
          <w:rFonts w:ascii="Cambria" w:hAnsi="Cambria" w:eastAsia="Cambria" w:cs="Cambria"/>
          <w:i/>
          <w:color w:val="555555"/>
          <w:sz w:val="18"/>
        </w:rPr>
        <w:t>Figure 7 — Promotion Scorecard — a promotion within its campaign</w:t>
      </w:r>
    </w:p>
    <w:p>
      <w:r>
        <w:rPr>
          <w:rFonts w:ascii="Cambria" w:hAnsi="Cambria" w:eastAsia="Cambria" w:cs="Cambria"/>
          <w:color w:val="555555"/>
          <w:sz w:val="21"/>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A.6: </w:t>
            </w:r>
            <w:r>
              <w:rPr>
                <w:rFonts w:ascii="Cambria" w:hAnsi="Cambria" w:eastAsia="Cambria" w:cs="Cambria"/>
                <w:color w:val="000000"/>
                <w:sz w:val="19"/>
              </w:rPr>
              <w:t>Campaigns and promotions are managed by the marketing team in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R.7: </w:t>
            </w:r>
            <w:r>
              <w:rPr>
                <w:rFonts w:ascii="Cambria" w:hAnsi="Cambria" w:eastAsia="Cambria" w:cs="Cambria"/>
                <w:color w:val="000000"/>
                <w:sz w:val="19"/>
              </w:rPr>
              <w:t>Promotions structured by campaign, with a controlled approval workflow and clear status lifecycle.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D.7: </w:t>
            </w:r>
            <w:r>
              <w:rPr>
                <w:rFonts w:ascii="Cambria" w:hAnsi="Cambria" w:eastAsia="Cambria" w:cs="Cambria"/>
                <w:color w:val="000000"/>
                <w:sz w:val="19"/>
              </w:rPr>
              <w:t>Promotion approval workflow and roles to be defined.</w:t>
            </w:r>
          </w:p>
        </w:tc>
      </w:tr>
    </w:tbl>
    <w:p/>
    <w:p>
      <w:pPr>
        <w:pStyle w:val="Heading2"/>
        <w:keepNext/>
        <w:pBdr>
          <w:bottom w:val="single" w:sz="6" w:space="4" w:color="E2E0DD"/>
        </w:pBdr>
      </w:pPr>
      <w:r>
        <w:rPr>
          <w:rFonts w:ascii="Cambria" w:hAnsi="Cambria" w:eastAsia="Cambria" w:cs="Cambria"/>
          <w:b/>
          <w:color w:val="555555"/>
          <w:sz w:val="26"/>
        </w:rPr>
        <w:t>2.2 Promotion Types</w:t>
      </w:r>
    </w:p>
    <w:p>
      <w:r>
        <w:rPr>
          <w:rFonts w:ascii="Cambria" w:hAnsi="Cambria" w:eastAsia="Cambria" w:cs="Cambria"/>
          <w:color w:val="555555"/>
          <w:sz w:val="21"/>
        </w:rPr>
        <w:t>ORCE supports eight promotion types, each designed for a specific marketing scenario:</w:t>
      </w:r>
    </w:p>
    <w:p>
      <w:pPr>
        <w:pStyle w:val="ListBullet"/>
      </w:pPr>
      <w:r>
        <w:rPr>
          <w:rFonts w:ascii="Cambria" w:hAnsi="Cambria" w:eastAsia="Cambria" w:cs="Cambria"/>
          <w:color w:val="555555"/>
          <w:sz w:val="21"/>
        </w:rPr>
        <w:t>Coupon — distributes offers applied through a coupon code (serialized or non-serialized).</w:t>
      </w:r>
    </w:p>
    <w:p>
      <w:pPr>
        <w:pStyle w:val="ListBullet"/>
      </w:pPr>
      <w:r>
        <w:rPr>
          <w:rFonts w:ascii="Cambria" w:hAnsi="Cambria" w:eastAsia="Cambria" w:cs="Cambria"/>
          <w:color w:val="555555"/>
          <w:sz w:val="21"/>
        </w:rPr>
        <w:t>Product — applies an offer directly to items or transactions at POS.</w:t>
      </w:r>
    </w:p>
    <w:p>
      <w:pPr>
        <w:pStyle w:val="ListBullet"/>
      </w:pPr>
      <w:r>
        <w:rPr>
          <w:rFonts w:ascii="Cambria" w:hAnsi="Cambria" w:eastAsia="Cambria" w:cs="Cambria"/>
          <w:color w:val="555555"/>
          <w:sz w:val="21"/>
        </w:rPr>
        <w:t>Message — delivers a marketing message without an associated discount.</w:t>
      </w:r>
    </w:p>
    <w:p>
      <w:pPr>
        <w:pStyle w:val="ListBullet"/>
      </w:pPr>
      <w:r>
        <w:rPr>
          <w:rFonts w:ascii="Cambria" w:hAnsi="Cambria" w:eastAsia="Cambria" w:cs="Cambria"/>
          <w:color w:val="555555"/>
          <w:sz w:val="21"/>
        </w:rPr>
        <w:t>Award — issues entitlement coupons or e-awards to members of an Award Program (no offer required).</w:t>
      </w:r>
    </w:p>
    <w:p>
      <w:pPr>
        <w:pStyle w:val="ListBullet"/>
      </w:pPr>
      <w:r>
        <w:rPr>
          <w:rFonts w:ascii="Cambria" w:hAnsi="Cambria" w:eastAsia="Cambria" w:cs="Cambria"/>
          <w:color w:val="555555"/>
          <w:sz w:val="21"/>
        </w:rPr>
        <w:t>Points for Purchase — awards loyalty points for qualifying purchases during the campaign period.</w:t>
      </w:r>
    </w:p>
    <w:p>
      <w:pPr>
        <w:pStyle w:val="ListBullet"/>
      </w:pPr>
      <w:r>
        <w:rPr>
          <w:rFonts w:ascii="Cambria" w:hAnsi="Cambria" w:eastAsia="Cambria" w:cs="Cambria"/>
          <w:color w:val="555555"/>
          <w:sz w:val="21"/>
        </w:rPr>
        <w:t>Points for Marketing Engagements — awards points for non-purchase activities.</w:t>
      </w:r>
    </w:p>
    <w:p>
      <w:pPr>
        <w:pStyle w:val="ListBullet"/>
      </w:pPr>
      <w:r>
        <w:rPr>
          <w:rFonts w:ascii="Cambria" w:hAnsi="Cambria" w:eastAsia="Cambria" w:cs="Cambria"/>
          <w:color w:val="555555"/>
          <w:sz w:val="21"/>
        </w:rPr>
        <w:t>Points — issues bonus loyalty points to specific program members.</w:t>
      </w:r>
    </w:p>
    <w:p>
      <w:pPr>
        <w:pStyle w:val="ListBullet"/>
      </w:pPr>
      <w:r>
        <w:rPr>
          <w:rFonts w:ascii="Cambria" w:hAnsi="Cambria" w:eastAsia="Cambria" w:cs="Cambria"/>
          <w:color w:val="555555"/>
          <w:sz w:val="21"/>
        </w:rPr>
        <w:t>Bounceback — a qualifying purchase triggers a follow-up offer or coupon for the next visit.</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645666"/>
            <wp:docPr id="8" name="Picture 8"/>
            <wp:cNvGraphicFramePr>
              <a:graphicFrameLocks noChangeAspect="1"/>
            </wp:cNvGraphicFramePr>
            <a:graphic>
              <a:graphicData uri="http://schemas.openxmlformats.org/drawingml/2006/picture">
                <pic:pic>
                  <pic:nvPicPr>
                    <pic:cNvPr id="0" name="po_promoscenario.png"/>
                    <pic:cNvPicPr/>
                  </pic:nvPicPr>
                  <pic:blipFill>
                    <a:blip r:embed="rId16"/>
                    <a:stretch>
                      <a:fillRect/>
                    </a:stretch>
                  </pic:blipFill>
                  <pic:spPr>
                    <a:xfrm>
                      <a:off x="0" y="0"/>
                      <a:ext cx="5029200" cy="1645666"/>
                    </a:xfrm>
                    <a:prstGeom prst="rect"/>
                  </pic:spPr>
                </pic:pic>
              </a:graphicData>
            </a:graphic>
          </wp:inline>
        </w:drawing>
      </w:r>
    </w:p>
    <w:p>
      <w:pPr>
        <w:spacing w:before="60" w:after="200"/>
        <w:jc w:val="center"/>
      </w:pPr>
      <w:r>
        <w:rPr>
          <w:rFonts w:ascii="Cambria" w:hAnsi="Cambria" w:eastAsia="Cambria" w:cs="Cambria"/>
          <w:i/>
          <w:color w:val="555555"/>
          <w:sz w:val="18"/>
        </w:rPr>
        <w:t>Figure 8 — Offer setup — Settings, Qualifying Items and Award Items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A.7: </w:t>
            </w:r>
            <w:r>
              <w:rPr>
                <w:rFonts w:ascii="Cambria" w:hAnsi="Cambria" w:eastAsia="Cambria" w:cs="Cambria"/>
                <w:color w:val="000000"/>
                <w:sz w:val="19"/>
              </w:rPr>
              <w:t>Discounts are applied at POS through ORCE promotions integrated with Xstore.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R.8: </w:t>
            </w:r>
            <w:r>
              <w:rPr>
                <w:rFonts w:ascii="Cambria" w:hAnsi="Cambria" w:eastAsia="Cambria" w:cs="Cambria"/>
                <w:color w:val="000000"/>
                <w:sz w:val="19"/>
              </w:rPr>
              <w:t>Support for coupon, product, award and loyalty-driven promotion types.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D.8: </w:t>
            </w:r>
            <w:r>
              <w:rPr>
                <w:rFonts w:ascii="Cambria" w:hAnsi="Cambria" w:eastAsia="Cambria" w:cs="Cambria"/>
                <w:color w:val="000000"/>
                <w:sz w:val="19"/>
              </w:rPr>
              <w:t>Promotion types in scope for go-live to be confirmed with marketing.</w:t>
            </w:r>
          </w:p>
        </w:tc>
      </w:tr>
    </w:tbl>
    <w:p/>
    <w:p>
      <w:pPr>
        <w:pStyle w:val="Heading2"/>
        <w:keepNext/>
        <w:pBdr>
          <w:bottom w:val="single" w:sz="6" w:space="4" w:color="E2E0DD"/>
        </w:pBdr>
      </w:pPr>
      <w:r>
        <w:rPr>
          <w:rFonts w:ascii="Cambria" w:hAnsi="Cambria" w:eastAsia="Cambria" w:cs="Cambria"/>
          <w:b/>
          <w:color w:val="555555"/>
          <w:sz w:val="26"/>
        </w:rPr>
        <w:t>2.3 Offers &amp; Discount Structures</w:t>
      </w:r>
    </w:p>
    <w:p>
      <w:r>
        <w:rPr>
          <w:rFonts w:ascii="Cambria" w:hAnsi="Cambria" w:eastAsia="Cambria" w:cs="Cambria"/>
          <w:color w:val="555555"/>
          <w:sz w:val="21"/>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582752"/>
            <wp:docPr id="9" name="Picture 9"/>
            <wp:cNvGraphicFramePr>
              <a:graphicFrameLocks noChangeAspect="1"/>
            </wp:cNvGraphicFramePr>
            <a:graphic>
              <a:graphicData uri="http://schemas.openxmlformats.org/drawingml/2006/picture">
                <pic:pic>
                  <pic:nvPicPr>
                    <pic:cNvPr id="0" name="po_offerscenario.png"/>
                    <pic:cNvPicPr/>
                  </pic:nvPicPr>
                  <pic:blipFill>
                    <a:blip r:embed="rId17"/>
                    <a:stretch>
                      <a:fillRect/>
                    </a:stretch>
                  </pic:blipFill>
                  <pic:spPr>
                    <a:xfrm>
                      <a:off x="0" y="0"/>
                      <a:ext cx="5029200" cy="1582752"/>
                    </a:xfrm>
                    <a:prstGeom prst="rect"/>
                  </pic:spPr>
                </pic:pic>
              </a:graphicData>
            </a:graphic>
          </wp:inline>
        </w:drawing>
      </w:r>
    </w:p>
    <w:p>
      <w:pPr>
        <w:spacing w:before="60" w:after="200"/>
        <w:jc w:val="center"/>
      </w:pPr>
      <w:r>
        <w:rPr>
          <w:rFonts w:ascii="Cambria" w:hAnsi="Cambria" w:eastAsia="Cambria" w:cs="Cambria"/>
          <w:i/>
          <w:color w:val="555555"/>
          <w:sz w:val="18"/>
        </w:rPr>
        <w:t>Figure 9 — Offer detail — a Fixed Quantity / Price discount structure</w:t>
      </w:r>
    </w:p>
    <w:p>
      <w:r>
        <w:rPr>
          <w:rFonts w:ascii="Cambria" w:hAnsi="Cambria" w:eastAsia="Cambria" w:cs="Cambria"/>
          <w:color w:val="555555"/>
          <w:sz w:val="21"/>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A.8: </w:t>
            </w:r>
            <w:r>
              <w:rPr>
                <w:rFonts w:ascii="Cambria" w:hAnsi="Cambria" w:eastAsia="Cambria" w:cs="Cambria"/>
                <w:color w:val="000000"/>
                <w:sz w:val="19"/>
              </w:rPr>
              <w:t>Item and merchandise hierarchy is available to define qualifying items and exclusions.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R.9: </w:t>
            </w:r>
            <w:r>
              <w:rPr>
                <w:rFonts w:ascii="Cambria" w:hAnsi="Cambria" w:eastAsia="Cambria" w:cs="Cambria"/>
                <w:color w:val="000000"/>
                <w:sz w:val="19"/>
              </w:rPr>
              <w:t>Offer types to cover amount-off, percent-off, override-price and gift-with-purchase scenarios.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D.9: </w:t>
            </w:r>
            <w:r>
              <w:rPr>
                <w:rFonts w:ascii="Cambria" w:hAnsi="Cambria" w:eastAsia="Cambria" w:cs="Cambria"/>
                <w:color w:val="000000"/>
                <w:sz w:val="19"/>
              </w:rPr>
              <w:t>Discount structures required for launch campaigns to be confirmed.</w:t>
            </w:r>
          </w:p>
        </w:tc>
      </w:tr>
    </w:tbl>
    <w:p/>
    <w:p>
      <w:pPr>
        <w:pStyle w:val="Heading2"/>
        <w:keepNext/>
        <w:pBdr>
          <w:bottom w:val="single" w:sz="6" w:space="4" w:color="E2E0DD"/>
        </w:pBdr>
      </w:pPr>
      <w:r>
        <w:rPr>
          <w:rFonts w:ascii="Cambria" w:hAnsi="Cambria" w:eastAsia="Cambria" w:cs="Cambria"/>
          <w:b/>
          <w:color w:val="555555"/>
          <w:sz w:val="26"/>
        </w:rPr>
        <w:t>2.4 Coupons</w:t>
      </w:r>
    </w:p>
    <w:p>
      <w:r>
        <w:rPr>
          <w:rFonts w:ascii="Cambria" w:hAnsi="Cambria" w:eastAsia="Cambria" w:cs="Cambria"/>
          <w:color w:val="555555"/>
          <w:sz w:val="21"/>
        </w:rPr>
        <w:t>A Coupon Promotion delivers offers through coupon codes. The associated offer's Intended Use is set to Coupon. Coupons are validated and redeemed at POS and ecommerce. Additional coupon codes can be generated against the same promotion.</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562121"/>
            <wp:docPr id="10" name="Picture 10"/>
            <wp:cNvGraphicFramePr>
              <a:graphicFrameLocks noChangeAspect="1"/>
            </wp:cNvGraphicFramePr>
            <a:graphic>
              <a:graphicData uri="http://schemas.openxmlformats.org/drawingml/2006/picture">
                <pic:pic>
                  <pic:nvPicPr>
                    <pic:cNvPr id="0" name="po_coupon.png"/>
                    <pic:cNvPicPr/>
                  </pic:nvPicPr>
                  <pic:blipFill>
                    <a:blip r:embed="rId18"/>
                    <a:stretch>
                      <a:fillRect/>
                    </a:stretch>
                  </pic:blipFill>
                  <pic:spPr>
                    <a:xfrm>
                      <a:off x="0" y="0"/>
                      <a:ext cx="5029200" cy="1562121"/>
                    </a:xfrm>
                    <a:prstGeom prst="rect"/>
                  </pic:spPr>
                </pic:pic>
              </a:graphicData>
            </a:graphic>
          </wp:inline>
        </w:drawing>
      </w:r>
    </w:p>
    <w:p>
      <w:pPr>
        <w:spacing w:before="60" w:after="200"/>
        <w:jc w:val="center"/>
      </w:pPr>
      <w:r>
        <w:rPr>
          <w:rFonts w:ascii="Cambria" w:hAnsi="Cambria" w:eastAsia="Cambria" w:cs="Cambria"/>
          <w:i/>
          <w:color w:val="555555"/>
          <w:sz w:val="18"/>
        </w:rPr>
        <w:t>Figure 10 — Coupon offer — an offer with Intended Use set to Coupon</w:t>
      </w:r>
    </w:p>
    <w:p>
      <w:r>
        <w:rPr>
          <w:rFonts w:ascii="Cambria" w:hAnsi="Cambria" w:eastAsia="Cambria" w:cs="Cambria"/>
          <w:color w:val="555555"/>
          <w:sz w:val="21"/>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A.9: </w:t>
            </w:r>
            <w:r>
              <w:rPr>
                <w:rFonts w:ascii="Cambria" w:hAnsi="Cambria" w:eastAsia="Cambria" w:cs="Cambria"/>
                <w:color w:val="000000"/>
                <w:sz w:val="19"/>
              </w:rPr>
              <w:t>Coupons are issued digitally and redeemed at POS and ecommerce.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R.10: </w:t>
            </w:r>
            <w:r>
              <w:rPr>
                <w:rFonts w:ascii="Cambria" w:hAnsi="Cambria" w:eastAsia="Cambria" w:cs="Cambria"/>
                <w:color w:val="000000"/>
                <w:sz w:val="19"/>
              </w:rPr>
              <w:t>Support for both serialized (single-use) and non-serialized coupon codes.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D.10: </w:t>
            </w:r>
            <w:r>
              <w:rPr>
                <w:rFonts w:ascii="Cambria" w:hAnsi="Cambria" w:eastAsia="Cambria" w:cs="Cambria"/>
                <w:color w:val="000000"/>
                <w:sz w:val="19"/>
              </w:rPr>
              <w:t>Coupon generation volumes, distribution channels and expiry rules to be defined per campaign.</w:t>
            </w:r>
          </w:p>
        </w:tc>
      </w:tr>
    </w:tbl>
    <w:p/>
    <w:p>
      <w:pPr>
        <w:pStyle w:val="Heading2"/>
        <w:keepNext/>
        <w:pBdr>
          <w:bottom w:val="single" w:sz="6" w:space="4" w:color="E2E0DD"/>
        </w:pBdr>
      </w:pPr>
      <w:r>
        <w:rPr>
          <w:rFonts w:ascii="Cambria" w:hAnsi="Cambria" w:eastAsia="Cambria" w:cs="Cambria"/>
          <w:b/>
          <w:color w:val="555555"/>
          <w:sz w:val="26"/>
        </w:rPr>
        <w:t>2.5 Targeted &amp; Personalized Promotions</w:t>
      </w:r>
    </w:p>
    <w:p>
      <w:r>
        <w:rPr>
          <w:rFonts w:ascii="Cambria" w:hAnsi="Cambria" w:eastAsia="Cambria" w:cs="Cambria"/>
          <w:color w:val="555555"/>
          <w:sz w:val="21"/>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415845"/>
            <wp:docPr id="11" name="Picture 11"/>
            <wp:cNvGraphicFramePr>
              <a:graphicFrameLocks noChangeAspect="1"/>
            </wp:cNvGraphicFramePr>
            <a:graphic>
              <a:graphicData uri="http://schemas.openxmlformats.org/drawingml/2006/picture">
                <pic:pic>
                  <pic:nvPicPr>
                    <pic:cNvPr id="0" name="po_targeted.png"/>
                    <pic:cNvPicPr/>
                  </pic:nvPicPr>
                  <pic:blipFill>
                    <a:blip r:embed="rId19"/>
                    <a:stretch>
                      <a:fillRect/>
                    </a:stretch>
                  </pic:blipFill>
                  <pic:spPr>
                    <a:xfrm>
                      <a:off x="0" y="0"/>
                      <a:ext cx="5029200" cy="1415845"/>
                    </a:xfrm>
                    <a:prstGeom prst="rect"/>
                  </pic:spPr>
                </pic:pic>
              </a:graphicData>
            </a:graphic>
          </wp:inline>
        </w:drawing>
      </w:r>
    </w:p>
    <w:p>
      <w:pPr>
        <w:spacing w:before="60" w:after="200"/>
        <w:jc w:val="center"/>
      </w:pPr>
      <w:r>
        <w:rPr>
          <w:rFonts w:ascii="Cambria" w:hAnsi="Cambria" w:eastAsia="Cambria" w:cs="Cambria"/>
          <w:i/>
          <w:color w:val="555555"/>
          <w:sz w:val="18"/>
        </w:rPr>
        <w:t>Figure 11 — Audience Definition — targeting a promotion with segments</w:t>
      </w:r>
    </w:p>
    <w:p>
      <w:r>
        <w:rPr>
          <w:rFonts w:ascii="Cambria" w:hAnsi="Cambria" w:eastAsia="Cambria" w:cs="Cambria"/>
          <w:color w:val="555555"/>
          <w:sz w:val="21"/>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A.10: </w:t>
            </w:r>
            <w:r>
              <w:rPr>
                <w:rFonts w:ascii="Cambria" w:hAnsi="Cambria" w:eastAsia="Cambria" w:cs="Cambria"/>
                <w:color w:val="000000"/>
                <w:sz w:val="19"/>
              </w:rPr>
              <w:t>Customer segments are maintained continuously and made available for promotion targeting.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R.11: </w:t>
            </w:r>
            <w:r>
              <w:rPr>
                <w:rFonts w:ascii="Cambria" w:hAnsi="Cambria" w:eastAsia="Cambria" w:cs="Cambria"/>
                <w:color w:val="000000"/>
                <w:sz w:val="19"/>
              </w:rPr>
              <w:t>Promotions targeted to segments, with support for exclusive and dynamic audiences.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D.11: </w:t>
            </w:r>
            <w:r>
              <w:rPr>
                <w:rFonts w:ascii="Cambria" w:hAnsi="Cambria" w:eastAsia="Cambria" w:cs="Cambria"/>
                <w:color w:val="000000"/>
                <w:sz w:val="19"/>
              </w:rPr>
              <w:t>Personalization scope and audience refresh frequency to be agreed.</w:t>
            </w:r>
          </w:p>
        </w:tc>
      </w:tr>
    </w:tbl>
    <w:p/>
    <w:p>
      <w:pPr>
        <w:pStyle w:val="Heading2"/>
        <w:keepNext/>
        <w:pBdr>
          <w:bottom w:val="single" w:sz="6" w:space="4" w:color="E2E0DD"/>
        </w:pBdr>
      </w:pPr>
      <w:r>
        <w:rPr>
          <w:rFonts w:ascii="Cambria" w:hAnsi="Cambria" w:eastAsia="Cambria" w:cs="Cambria"/>
          <w:b/>
          <w:color w:val="555555"/>
          <w:sz w:val="26"/>
        </w:rPr>
        <w:t>2.6 Promotion &amp; Offer Scorecards</w:t>
      </w:r>
    </w:p>
    <w:p>
      <w:r>
        <w:rPr>
          <w:rFonts w:ascii="Cambria" w:hAnsi="Cambria" w:eastAsia="Cambria" w:cs="Cambria"/>
          <w:color w:val="555555"/>
          <w:sz w:val="21"/>
        </w:rPr>
        <w:t>Two scorecards measure promotion performance. The Promotion Scorecard measures a promotion over its life with metrics Revenue, Average Transaction and Response Rate, and a Promotion Performance chart over the selected duration.</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235501"/>
            <wp:docPr id="12" name="Picture 12"/>
            <wp:cNvGraphicFramePr>
              <a:graphicFrameLocks noChangeAspect="1"/>
            </wp:cNvGraphicFramePr>
            <a:graphic>
              <a:graphicData uri="http://schemas.openxmlformats.org/drawingml/2006/picture">
                <pic:pic>
                  <pic:nvPicPr>
                    <pic:cNvPr id="0" name="po_offerscorecard.png"/>
                    <pic:cNvPicPr/>
                  </pic:nvPicPr>
                  <pic:blipFill>
                    <a:blip r:embed="rId20"/>
                    <a:stretch>
                      <a:fillRect/>
                    </a:stretch>
                  </pic:blipFill>
                  <pic:spPr>
                    <a:xfrm>
                      <a:off x="0" y="0"/>
                      <a:ext cx="5029200" cy="2235501"/>
                    </a:xfrm>
                    <a:prstGeom prst="rect"/>
                  </pic:spPr>
                </pic:pic>
              </a:graphicData>
            </a:graphic>
          </wp:inline>
        </w:drawing>
      </w:r>
    </w:p>
    <w:p>
      <w:pPr>
        <w:spacing w:before="60" w:after="200"/>
        <w:jc w:val="center"/>
      </w:pPr>
      <w:r>
        <w:rPr>
          <w:rFonts w:ascii="Cambria" w:hAnsi="Cambria" w:eastAsia="Cambria" w:cs="Cambria"/>
          <w:i/>
          <w:color w:val="555555"/>
          <w:sz w:val="18"/>
        </w:rPr>
        <w:t>Figure 12 — Offer Scorecard — offer performance across promotions</w:t>
      </w:r>
    </w:p>
    <w:p>
      <w:r>
        <w:rPr>
          <w:rFonts w:ascii="Cambria" w:hAnsi="Cambria" w:eastAsia="Cambria" w:cs="Cambria"/>
          <w:color w:val="555555"/>
          <w:sz w:val="21"/>
        </w:rPr>
        <w:t>The Offer Scorecard measures the performance of an individual offer, with Revenue LTD, Average Unit Retail and a list of every promotion the offer is included in, with respondents and response rate per promotion.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A.11: </w:t>
            </w:r>
            <w:r>
              <w:rPr>
                <w:rFonts w:ascii="Cambria" w:hAnsi="Cambria" w:eastAsia="Cambria" w:cs="Cambria"/>
                <w:color w:val="000000"/>
                <w:sz w:val="19"/>
              </w:rPr>
              <w:t>Scorecard summary jobs run on a defined schedule to keep performance data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R.12: </w:t>
            </w:r>
            <w:r>
              <w:rPr>
                <w:rFonts w:ascii="Cambria" w:hAnsi="Cambria" w:eastAsia="Cambria" w:cs="Cambria"/>
                <w:color w:val="000000"/>
                <w:sz w:val="19"/>
              </w:rPr>
              <w:t>Promotion and offer performance visible to marketing for analysis and decision support.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D.12: </w:t>
            </w:r>
            <w:r>
              <w:rPr>
                <w:rFonts w:ascii="Cambria" w:hAnsi="Cambria" w:eastAsia="Cambria" w:cs="Cambria"/>
                <w:color w:val="000000"/>
                <w:sz w:val="19"/>
              </w:rPr>
              <w:t>Reporting KPIs, cadence and ownership to be defined with the marketing team.</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3. Loyalty &amp; Awards</w:t>
      </w:r>
    </w:p>
    <w:p>
      <w:r>
        <w:rPr>
          <w:rFonts w:ascii="Cambria" w:hAnsi="Cambria" w:eastAsia="Cambria" w:cs="Cambria"/>
          <w:color w:val="555555"/>
          <w:sz w:val="21"/>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keepNext/>
        <w:pBdr>
          <w:bottom w:val="single" w:sz="6" w:space="4" w:color="E2E0DD"/>
        </w:pBdr>
      </w:pPr>
      <w:r>
        <w:rPr>
          <w:rFonts w:ascii="Cambria" w:hAnsi="Cambria" w:eastAsia="Cambria" w:cs="Cambria"/>
          <w:b/>
          <w:color w:val="555555"/>
          <w:sz w:val="26"/>
        </w:rPr>
        <w:t>3.1 Loyalty Program &amp; Levels</w:t>
      </w:r>
    </w:p>
    <w:p>
      <w:r>
        <w:rPr>
          <w:rFonts w:ascii="Cambria" w:hAnsi="Cambria" w:eastAsia="Cambria" w:cs="Cambria"/>
          <w:color w:val="555555"/>
          <w:sz w:val="21"/>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221184"/>
            <wp:docPr id="13" name="Picture 13"/>
            <wp:cNvGraphicFramePr>
              <a:graphicFrameLocks noChangeAspect="1"/>
            </wp:cNvGraphicFramePr>
            <a:graphic>
              <a:graphicData uri="http://schemas.openxmlformats.org/drawingml/2006/picture">
                <pic:pic>
                  <pic:nvPicPr>
                    <pic:cNvPr id="0" name="loyalty.png"/>
                    <pic:cNvPicPr/>
                  </pic:nvPicPr>
                  <pic:blipFill>
                    <a:blip r:embed="rId21"/>
                    <a:stretch>
                      <a:fillRect/>
                    </a:stretch>
                  </pic:blipFill>
                  <pic:spPr>
                    <a:xfrm>
                      <a:off x="0" y="0"/>
                      <a:ext cx="5029200" cy="2221184"/>
                    </a:xfrm>
                    <a:prstGeom prst="rect"/>
                  </pic:spPr>
                </pic:pic>
              </a:graphicData>
            </a:graphic>
          </wp:inline>
        </w:drawing>
      </w:r>
    </w:p>
    <w:p>
      <w:pPr>
        <w:spacing w:before="60" w:after="200"/>
        <w:jc w:val="center"/>
      </w:pPr>
      <w:r>
        <w:rPr>
          <w:rFonts w:ascii="Cambria" w:hAnsi="Cambria" w:eastAsia="Cambria" w:cs="Cambria"/>
          <w:i/>
          <w:color w:val="555555"/>
          <w:sz w:val="18"/>
        </w:rPr>
        <w:t>Figure 13 — Loyalty Program &amp; Levels — program and tier setup</w:t>
      </w:r>
    </w:p>
    <w:p>
      <w:r>
        <w:rPr>
          <w:rFonts w:ascii="Cambria" w:hAnsi="Cambria" w:eastAsia="Cambria" w:cs="Cambria"/>
          <w:color w:val="555555"/>
          <w:sz w:val="21"/>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D.13: </w:t>
            </w:r>
            <w:r>
              <w:rPr>
                <w:rFonts w:ascii="Cambria" w:hAnsi="Cambria" w:eastAsia="Cambria" w:cs="Cambria"/>
                <w:color w:val="000000"/>
                <w:sz w:val="19"/>
              </w:rPr>
              <w:t>Only two tiers will be used: Friend (Level 1) and Bestie (Level 2).</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A.12: </w:t>
            </w:r>
            <w:r>
              <w:rPr>
                <w:rFonts w:ascii="Cambria" w:hAnsi="Cambria" w:eastAsia="Cambria" w:cs="Cambria"/>
                <w:color w:val="000000"/>
                <w:sz w:val="19"/>
              </w:rPr>
              <w:t>Each country has its own loyalty programme (USA, Canada). Quebec is currently out of scope.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R.13: </w:t>
            </w:r>
            <w:r>
              <w:rPr>
                <w:rFonts w:ascii="Cambria" w:hAnsi="Cambria" w:eastAsia="Cambria" w:cs="Cambria"/>
                <w:color w:val="000000"/>
                <w:sz w:val="19"/>
              </w:rPr>
              <w:t>Tier level visible on the Customer Dashboard and exposed via web service to POS and ecom.</w:t>
            </w:r>
          </w:p>
        </w:tc>
      </w:tr>
    </w:tbl>
    <w:p/>
    <w:p>
      <w:pPr>
        <w:pStyle w:val="Heading2"/>
        <w:keepNext/>
        <w:pBdr>
          <w:bottom w:val="single" w:sz="6" w:space="4" w:color="E2E0DD"/>
        </w:pBdr>
      </w:pPr>
      <w:r>
        <w:rPr>
          <w:rFonts w:ascii="Cambria" w:hAnsi="Cambria" w:eastAsia="Cambria" w:cs="Cambria"/>
          <w:b/>
          <w:color w:val="555555"/>
          <w:sz w:val="26"/>
        </w:rPr>
        <w:t>3.2 Issue Rules — Earning Points</w:t>
      </w:r>
    </w:p>
    <w:p>
      <w:r>
        <w:rPr>
          <w:rFonts w:ascii="Cambria" w:hAnsi="Cambria" w:eastAsia="Cambria" w:cs="Cambria"/>
          <w:color w:val="555555"/>
          <w:sz w:val="21"/>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692625"/>
            <wp:docPr id="14" name="Picture 14"/>
            <wp:cNvGraphicFramePr>
              <a:graphicFrameLocks noChangeAspect="1"/>
            </wp:cNvGraphicFramePr>
            <a:graphic>
              <a:graphicData uri="http://schemas.openxmlformats.org/drawingml/2006/picture">
                <pic:pic>
                  <pic:nvPicPr>
                    <pic:cNvPr id="0" name="issue_rule.png"/>
                    <pic:cNvPicPr/>
                  </pic:nvPicPr>
                  <pic:blipFill>
                    <a:blip r:embed="rId22"/>
                    <a:stretch>
                      <a:fillRect/>
                    </a:stretch>
                  </pic:blipFill>
                  <pic:spPr>
                    <a:xfrm>
                      <a:off x="0" y="0"/>
                      <a:ext cx="5029200" cy="2692625"/>
                    </a:xfrm>
                    <a:prstGeom prst="rect"/>
                  </pic:spPr>
                </pic:pic>
              </a:graphicData>
            </a:graphic>
          </wp:inline>
        </w:drawing>
      </w:r>
    </w:p>
    <w:p>
      <w:pPr>
        <w:spacing w:before="60" w:after="200"/>
        <w:jc w:val="center"/>
      </w:pPr>
      <w:r>
        <w:rPr>
          <w:rFonts w:ascii="Cambria" w:hAnsi="Cambria" w:eastAsia="Cambria" w:cs="Cambria"/>
          <w:i/>
          <w:color w:val="555555"/>
          <w:sz w:val="18"/>
        </w:rPr>
        <w:t>Figure 14 — Issue Rule — points per qualifying transaction</w:t>
      </w:r>
    </w:p>
    <w:p>
      <w:r>
        <w:rPr>
          <w:rFonts w:ascii="Cambria" w:hAnsi="Cambria" w:eastAsia="Cambria" w:cs="Cambria"/>
          <w:color w:val="555555"/>
          <w:sz w:val="21"/>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D.14: </w:t>
            </w:r>
            <w:r>
              <w:rPr>
                <w:rFonts w:ascii="Cambria" w:hAnsi="Cambria" w:eastAsia="Cambria" w:cs="Cambria"/>
                <w:color w:val="000000"/>
                <w:sz w:val="19"/>
              </w:rPr>
              <w:t>Loyalty programme uses points-per-purchase logic (flat 50 points per qualifying transaction) rather than spend-based earning.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A.13: </w:t>
            </w:r>
            <w:r>
              <w:rPr>
                <w:rFonts w:ascii="Cambria" w:hAnsi="Cambria" w:eastAsia="Cambria" w:cs="Cambria"/>
                <w:color w:val="000000"/>
                <w:sz w:val="19"/>
              </w:rPr>
              <w:t>Both levels earn 50 points per qualifying purchase; Bestie earns an additional 25 points bonus per qualifying transaction.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R.14: </w:t>
            </w:r>
            <w:r>
              <w:rPr>
                <w:rFonts w:ascii="Cambria" w:hAnsi="Cambria" w:eastAsia="Cambria" w:cs="Cambria"/>
                <w:color w:val="000000"/>
                <w:sz w:val="19"/>
              </w:rPr>
              <w:t>$100 purchase bonus (+50 points, US/CA) and piercing SKU bonus (+100 points) must be configured.</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D.15: </w:t>
            </w:r>
            <w:r>
              <w:rPr>
                <w:rFonts w:ascii="Cambria" w:hAnsi="Cambria" w:eastAsia="Cambria" w:cs="Cambria"/>
                <w:color w:val="000000"/>
                <w:sz w:val="19"/>
              </w:rPr>
              <w:t>Gift card tender exclusion from points eligibility requires integration logic — not native to the ORCE points engine.</w:t>
            </w:r>
          </w:p>
        </w:tc>
      </w:tr>
    </w:tbl>
    <w:p/>
    <w:p>
      <w:pPr>
        <w:pStyle w:val="Heading2"/>
        <w:keepNext/>
        <w:pBdr>
          <w:bottom w:val="single" w:sz="6" w:space="4" w:color="E2E0DD"/>
        </w:pBdr>
      </w:pPr>
      <w:r>
        <w:rPr>
          <w:rFonts w:ascii="Cambria" w:hAnsi="Cambria" w:eastAsia="Cambria" w:cs="Cambria"/>
          <w:b/>
          <w:color w:val="555555"/>
          <w:sz w:val="26"/>
        </w:rPr>
        <w:t>3.3 Marketing Engagement Points</w:t>
      </w:r>
    </w:p>
    <w:p>
      <w:r>
        <w:rPr>
          <w:rFonts w:ascii="Cambria" w:hAnsi="Cambria" w:eastAsia="Cambria" w:cs="Cambria"/>
          <w:color w:val="555555"/>
          <w:sz w:val="21"/>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2330696"/>
            <wp:docPr id="15" name="Picture 15"/>
            <wp:cNvGraphicFramePr>
              <a:graphicFrameLocks noChangeAspect="1"/>
            </wp:cNvGraphicFramePr>
            <a:graphic>
              <a:graphicData uri="http://schemas.openxmlformats.org/drawingml/2006/picture">
                <pic:pic>
                  <pic:nvPicPr>
                    <pic:cNvPr id="0" name="ptsPurchase.png"/>
                    <pic:cNvPicPr/>
                  </pic:nvPicPr>
                  <pic:blipFill>
                    <a:blip r:embed="rId23"/>
                    <a:stretch>
                      <a:fillRect/>
                    </a:stretch>
                  </pic:blipFill>
                  <pic:spPr>
                    <a:xfrm>
                      <a:off x="0" y="0"/>
                      <a:ext cx="5029200" cy="2330696"/>
                    </a:xfrm>
                    <a:prstGeom prst="rect"/>
                  </pic:spPr>
                </pic:pic>
              </a:graphicData>
            </a:graphic>
          </wp:inline>
        </w:drawing>
      </w:r>
    </w:p>
    <w:p>
      <w:pPr>
        <w:spacing w:before="60" w:after="200"/>
        <w:jc w:val="center"/>
      </w:pPr>
      <w:r>
        <w:rPr>
          <w:rFonts w:ascii="Cambria" w:hAnsi="Cambria" w:eastAsia="Cambria" w:cs="Cambria"/>
          <w:i/>
          <w:color w:val="555555"/>
          <w:sz w:val="18"/>
        </w:rPr>
        <w:t>Figure 15 — Points for Purchase promotion — base for non-purchase engagement variants</w:t>
      </w:r>
    </w:p>
    <w:p>
      <w:r>
        <w:rPr>
          <w:rFonts w:ascii="Cambria" w:hAnsi="Cambria" w:eastAsia="Cambria" w:cs="Cambria"/>
          <w:color w:val="555555"/>
          <w:sz w:val="21"/>
        </w:rPr>
        <w:t>Claire's engagement catalogue:</w:t>
      </w:r>
    </w:p>
    <w:p>
      <w:pPr>
        <w:pStyle w:val="ListBullet"/>
      </w:pPr>
      <w:r>
        <w:rPr>
          <w:rFonts w:ascii="Cambria" w:hAnsi="Cambria" w:eastAsia="Cambria" w:cs="Cambria"/>
          <w:color w:val="555555"/>
          <w:sz w:val="21"/>
        </w:rPr>
        <w:t>Birthday information provided: +15 points</w:t>
      </w:r>
    </w:p>
    <w:p>
      <w:pPr>
        <w:pStyle w:val="ListBullet"/>
      </w:pPr>
      <w:r>
        <w:rPr>
          <w:rFonts w:ascii="Cambria" w:hAnsi="Cambria" w:eastAsia="Cambria" w:cs="Cambria"/>
          <w:color w:val="555555"/>
          <w:sz w:val="21"/>
        </w:rPr>
        <w:t>"Who are you shopping for" provided: +15 points</w:t>
      </w:r>
    </w:p>
    <w:p>
      <w:pPr>
        <w:pStyle w:val="ListBullet"/>
      </w:pPr>
      <w:r>
        <w:rPr>
          <w:rFonts w:ascii="Cambria" w:hAnsi="Cambria" w:eastAsia="Cambria" w:cs="Cambria"/>
          <w:color w:val="555555"/>
          <w:sz w:val="21"/>
        </w:rPr>
        <w:t>Address provided: +15 points</w:t>
      </w:r>
    </w:p>
    <w:p>
      <w:pPr>
        <w:pStyle w:val="ListBullet"/>
      </w:pPr>
      <w:r>
        <w:rPr>
          <w:rFonts w:ascii="Cambria" w:hAnsi="Cambria" w:eastAsia="Cambria" w:cs="Cambria"/>
          <w:color w:val="555555"/>
          <w:sz w:val="21"/>
        </w:rPr>
        <w:t>TikTok follow: +10 points</w:t>
      </w:r>
    </w:p>
    <w:p>
      <w:pPr>
        <w:pStyle w:val="ListBullet"/>
      </w:pPr>
      <w:r>
        <w:rPr>
          <w:rFonts w:ascii="Cambria" w:hAnsi="Cambria" w:eastAsia="Cambria" w:cs="Cambria"/>
          <w:color w:val="555555"/>
          <w:sz w:val="21"/>
        </w:rPr>
        <w:t>Facebook follow: +10 points</w:t>
      </w:r>
    </w:p>
    <w:p>
      <w:pPr>
        <w:pStyle w:val="ListBullet"/>
      </w:pPr>
      <w:r>
        <w:rPr>
          <w:rFonts w:ascii="Cambria" w:hAnsi="Cambria" w:eastAsia="Cambria" w:cs="Cambria"/>
          <w:color w:val="555555"/>
          <w:sz w:val="21"/>
        </w:rPr>
        <w:t>Instagram follow: +10 points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A.14: </w:t>
            </w:r>
            <w:r>
              <w:rPr>
                <w:rFonts w:ascii="Cambria" w:hAnsi="Cambria" w:eastAsia="Cambria" w:cs="Cambria"/>
                <w:color w:val="000000"/>
                <w:sz w:val="19"/>
              </w:rPr>
              <w:t>Engagement points are triggered by claires.com / app via the Events API; each engagement is one-time per member.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R.15: </w:t>
            </w:r>
            <w:r>
              <w:rPr>
                <w:rFonts w:ascii="Cambria" w:hAnsi="Cambria" w:eastAsia="Cambria" w:cs="Cambria"/>
                <w:color w:val="000000"/>
                <w:sz w:val="19"/>
              </w:rPr>
              <w:t>Marketing engagement points: 15 points for birthday / who-are-you-shopping-for / address; 10 points for TikTok / Facebook / Instagram.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D.16: </w:t>
            </w:r>
            <w:r>
              <w:rPr>
                <w:rFonts w:ascii="Cambria" w:hAnsi="Cambria" w:eastAsia="Cambria" w:cs="Cambria"/>
                <w:color w:val="000000"/>
                <w:sz w:val="19"/>
              </w:rPr>
              <w:t>Engagement event payload contract and trigger flows to be confirmed with the integration team.</w:t>
            </w:r>
          </w:p>
        </w:tc>
      </w:tr>
    </w:tbl>
    <w:p/>
    <w:p>
      <w:pPr>
        <w:pStyle w:val="Heading2"/>
        <w:keepNext/>
        <w:pBdr>
          <w:bottom w:val="single" w:sz="6" w:space="4" w:color="E2E0DD"/>
        </w:pBdr>
      </w:pPr>
      <w:r>
        <w:rPr>
          <w:rFonts w:ascii="Cambria" w:hAnsi="Cambria" w:eastAsia="Cambria" w:cs="Cambria"/>
          <w:b/>
          <w:color w:val="555555"/>
          <w:sz w:val="26"/>
        </w:rPr>
        <w:t>3.4 Movement Rules — Tier Progression</w:t>
      </w:r>
    </w:p>
    <w:p>
      <w:r>
        <w:rPr>
          <w:rFonts w:ascii="Cambria" w:hAnsi="Cambria" w:eastAsia="Cambria" w:cs="Cambria"/>
          <w:color w:val="555555"/>
          <w:sz w:val="21"/>
        </w:rPr>
        <w:t>Movement Rules govern how customers progress between loyalty levels. They support promotion, sustain and demotion logic, with test types over YTD Points, LTD Points, Points Since Last Level Move, Average Points/Month and Time Period.</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774005"/>
            <wp:docPr id="16" name="Picture 16"/>
            <wp:cNvGraphicFramePr>
              <a:graphicFrameLocks noChangeAspect="1"/>
            </wp:cNvGraphicFramePr>
            <a:graphic>
              <a:graphicData uri="http://schemas.openxmlformats.org/drawingml/2006/picture">
                <pic:pic>
                  <pic:nvPicPr>
                    <pic:cNvPr id="0" name="levels.png"/>
                    <pic:cNvPicPr/>
                  </pic:nvPicPr>
                  <pic:blipFill>
                    <a:blip r:embed="rId24"/>
                    <a:stretch>
                      <a:fillRect/>
                    </a:stretch>
                  </pic:blipFill>
                  <pic:spPr>
                    <a:xfrm>
                      <a:off x="0" y="0"/>
                      <a:ext cx="5029200" cy="774005"/>
                    </a:xfrm>
                    <a:prstGeom prst="rect"/>
                  </pic:spPr>
                </pic:pic>
              </a:graphicData>
            </a:graphic>
          </wp:inline>
        </w:drawing>
      </w:r>
    </w:p>
    <w:p>
      <w:pPr>
        <w:spacing w:before="60" w:after="200"/>
        <w:jc w:val="center"/>
      </w:pPr>
      <w:r>
        <w:rPr>
          <w:rFonts w:ascii="Cambria" w:hAnsi="Cambria" w:eastAsia="Cambria" w:cs="Cambria"/>
          <w:i/>
          <w:color w:val="555555"/>
          <w:sz w:val="18"/>
        </w:rPr>
        <w:t>Figure 16 — Loyalty Levels — Friend and Bestie tier configuration</w:t>
      </w:r>
    </w:p>
    <w:p>
      <w:r>
        <w:rPr>
          <w:rFonts w:ascii="Cambria" w:hAnsi="Cambria" w:eastAsia="Cambria" w:cs="Cambria"/>
          <w:color w:val="555555"/>
          <w:sz w:val="21"/>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D.17: </w:t>
            </w:r>
            <w:r>
              <w:rPr>
                <w:rFonts w:ascii="Cambria" w:hAnsi="Cambria" w:eastAsia="Cambria" w:cs="Cambria"/>
                <w:color w:val="000000"/>
                <w:sz w:val="19"/>
              </w:rPr>
              <w:t>Bestie qualified by $100 net annual spend (calendar year). Spend-based qualification computed by Inte Q and pushed to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A.15: </w:t>
            </w:r>
            <w:r>
              <w:rPr>
                <w:rFonts w:ascii="Cambria" w:hAnsi="Cambria" w:eastAsia="Cambria" w:cs="Cambria"/>
                <w:color w:val="000000"/>
                <w:sz w:val="19"/>
              </w:rPr>
              <w:t>Inte Q calculates annual net spend daily and triggers the Change Level via the ActivityImport web service.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R.16: </w:t>
            </w:r>
            <w:r>
              <w:rPr>
                <w:rFonts w:ascii="Cambria" w:hAnsi="Cambria" w:eastAsia="Cambria" w:cs="Cambria"/>
                <w:color w:val="000000"/>
                <w:sz w:val="19"/>
              </w:rPr>
              <w:t>Bestie status retained for the rest of Year 1 and full Year 2; requalification during Year 2 grants Bestie in Year 3.</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D.18: </w:t>
            </w:r>
            <w:r>
              <w:rPr>
                <w:rFonts w:ascii="Cambria" w:hAnsi="Cambria" w:eastAsia="Cambria" w:cs="Cambria"/>
                <w:color w:val="000000"/>
                <w:sz w:val="19"/>
              </w:rPr>
              <w:t>Net-spend exclusions (discounts, shipping, taxes other than VAT, gift card redemptions) to be confirmed.</w:t>
            </w:r>
          </w:p>
        </w:tc>
      </w:tr>
    </w:tbl>
    <w:p/>
    <w:p>
      <w:pPr>
        <w:pStyle w:val="Heading2"/>
        <w:keepNext/>
        <w:pBdr>
          <w:bottom w:val="single" w:sz="6" w:space="4" w:color="E2E0DD"/>
        </w:pBdr>
      </w:pPr>
      <w:r>
        <w:rPr>
          <w:rFonts w:ascii="Cambria" w:hAnsi="Cambria" w:eastAsia="Cambria" w:cs="Cambria"/>
          <w:b/>
          <w:color w:val="555555"/>
          <w:sz w:val="26"/>
        </w:rPr>
        <w:t>3.5 Awards &amp; Rewards</w:t>
      </w:r>
    </w:p>
    <w:p>
      <w:r>
        <w:rPr>
          <w:rFonts w:ascii="Cambria" w:hAnsi="Cambria" w:eastAsia="Cambria" w:cs="Cambria"/>
          <w:color w:val="555555"/>
          <w:sz w:val="21"/>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008023"/>
            <wp:docPr id="17" name="Picture 17"/>
            <wp:cNvGraphicFramePr>
              <a:graphicFrameLocks noChangeAspect="1"/>
            </wp:cNvGraphicFramePr>
            <a:graphic>
              <a:graphicData uri="http://schemas.openxmlformats.org/drawingml/2006/picture">
                <pic:pic>
                  <pic:nvPicPr>
                    <pic:cNvPr id="0" name="awardrule.png"/>
                    <pic:cNvPicPr/>
                  </pic:nvPicPr>
                  <pic:blipFill>
                    <a:blip r:embed="rId25"/>
                    <a:stretch>
                      <a:fillRect/>
                    </a:stretch>
                  </pic:blipFill>
                  <pic:spPr>
                    <a:xfrm>
                      <a:off x="0" y="0"/>
                      <a:ext cx="5029200" cy="1008023"/>
                    </a:xfrm>
                    <a:prstGeom prst="rect"/>
                  </pic:spPr>
                </pic:pic>
              </a:graphicData>
            </a:graphic>
          </wp:inline>
        </w:drawing>
      </w:r>
    </w:p>
    <w:p>
      <w:pPr>
        <w:spacing w:before="60" w:after="200"/>
        <w:jc w:val="center"/>
      </w:pPr>
      <w:r>
        <w:rPr>
          <w:rFonts w:ascii="Cambria" w:hAnsi="Cambria" w:eastAsia="Cambria" w:cs="Cambria"/>
          <w:i/>
          <w:color w:val="555555"/>
          <w:sz w:val="18"/>
        </w:rPr>
        <w:t>Figure 17 — Award Rule — $5 E-Award at every 100 points</w:t>
      </w:r>
    </w:p>
    <w:p>
      <w:r>
        <w:rPr>
          <w:rFonts w:ascii="Cambria" w:hAnsi="Cambria" w:eastAsia="Cambria" w:cs="Cambria"/>
          <w:color w:val="555555"/>
          <w:sz w:val="21"/>
        </w:rPr>
        <w:t>Special awards complement the standard reward:</w:t>
      </w:r>
    </w:p>
    <w:p>
      <w:pPr>
        <w:pStyle w:val="ListBullet"/>
      </w:pPr>
      <w:r>
        <w:rPr>
          <w:rFonts w:ascii="Cambria" w:hAnsi="Cambria" w:eastAsia="Cambria" w:cs="Cambria"/>
          <w:color w:val="555555"/>
          <w:sz w:val="21"/>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5"/>
          <w:sz w:val="21"/>
        </w:rPr>
        <w:t>Birthday reward: $5 OFF (Friend) / $10 OFF (Bestie) coupon, delivered by email during the birthday month.</w:t>
      </w:r>
    </w:p>
    <w:p>
      <w:pPr>
        <w:pStyle w:val="ListBullet"/>
      </w:pPr>
      <w:r>
        <w:rPr>
          <w:rFonts w:ascii="Cambria" w:hAnsi="Cambria" w:eastAsia="Cambria" w:cs="Cambria"/>
          <w:color w:val="555555"/>
          <w:sz w:val="21"/>
        </w:rPr>
        <w:t>Free Gift award on Bestie tier-up.</w:t>
      </w:r>
    </w:p>
    <w:p>
      <w:pPr>
        <w:pStyle w:val="ListBullet"/>
      </w:pPr>
      <w:r>
        <w:rPr>
          <w:rFonts w:ascii="Cambria" w:hAnsi="Cambria" w:eastAsia="Cambria" w:cs="Cambria"/>
          <w:color w:val="555555"/>
          <w:sz w:val="21"/>
        </w:rPr>
        <w:t>Free Earrings for a Year benefit (Bestie tier).</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D.19: </w:t>
            </w:r>
            <w:r>
              <w:rPr>
                <w:rFonts w:ascii="Cambria" w:hAnsi="Cambria" w:eastAsia="Cambria" w:cs="Cambria"/>
                <w:color w:val="000000"/>
                <w:sz w:val="19"/>
              </w:rPr>
              <w:t>$5 award issued at every 100 points; Anytime Reward $5 (Friend: 1/year; Bestie: 2/year).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A.16: </w:t>
            </w:r>
            <w:r>
              <w:rPr>
                <w:rFonts w:ascii="Cambria" w:hAnsi="Cambria" w:eastAsia="Cambria" w:cs="Cambria"/>
                <w:color w:val="000000"/>
                <w:sz w:val="19"/>
              </w:rPr>
              <w:t>Birthday discount communications are issued by the ESP (SFMC); ORCE supplies the eligibility trigger via the Birthday Time Rule and the coupon for redemption.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R.17: </w:t>
            </w:r>
            <w:r>
              <w:rPr>
                <w:rFonts w:ascii="Cambria" w:hAnsi="Cambria" w:eastAsia="Cambria" w:cs="Cambria"/>
                <w:color w:val="000000"/>
                <w:sz w:val="19"/>
              </w:rPr>
              <w:t>Free Gift coupon issued automatically on Bestie tier-up; Free Earrings for a Year benefit available to Bestie tier.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A.17: </w:t>
            </w:r>
            <w:r>
              <w:rPr>
                <w:rFonts w:ascii="Cambria" w:hAnsi="Cambria" w:eastAsia="Cambria" w:cs="Cambria"/>
                <w:color w:val="000000"/>
                <w:sz w:val="19"/>
              </w:rPr>
              <w:t>All annual benefits and bonus rewards reset on January 1st of each year.</w:t>
            </w:r>
          </w:p>
        </w:tc>
      </w:tr>
    </w:tbl>
    <w:p/>
    <w:p>
      <w:pPr>
        <w:pStyle w:val="Heading2"/>
        <w:keepNext/>
        <w:pBdr>
          <w:bottom w:val="single" w:sz="6" w:space="4" w:color="E2E0DD"/>
        </w:pBdr>
      </w:pPr>
      <w:r>
        <w:rPr>
          <w:rFonts w:ascii="Cambria" w:hAnsi="Cambria" w:eastAsia="Cambria" w:cs="Cambria"/>
          <w:b/>
          <w:color w:val="555555"/>
          <w:sz w:val="26"/>
        </w:rPr>
        <w:t>3.6 Returns &amp; Point Deduction</w:t>
      </w:r>
    </w:p>
    <w:p>
      <w:r>
        <w:rPr>
          <w:rFonts w:ascii="Cambria" w:hAnsi="Cambria" w:eastAsia="Cambria" w:cs="Cambria"/>
          <w:color w:val="555555"/>
          <w:sz w:val="21"/>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120" w:after="120"/>
        <w:jc w:val="center"/>
      </w:pPr>
      <w:r>
        <w:rPr>
          <w:rFonts w:ascii="Cambria" w:hAnsi="Cambria" w:eastAsia="Cambria" w:cs="Cambria"/>
          <w:color w:val="555555"/>
          <w:sz w:val="21"/>
        </w:rPr>
        <w:drawing>
          <wp:inline xmlns:a="http://schemas.openxmlformats.org/drawingml/2006/main" xmlns:pic="http://schemas.openxmlformats.org/drawingml/2006/picture">
            <wp:extent cx="5029200" cy="1157801"/>
            <wp:docPr id="18" name="Picture 18"/>
            <wp:cNvGraphicFramePr>
              <a:graphicFrameLocks noChangeAspect="1"/>
            </wp:cNvGraphicFramePr>
            <a:graphic>
              <a:graphicData uri="http://schemas.openxmlformats.org/drawingml/2006/picture">
                <pic:pic>
                  <pic:nvPicPr>
                    <pic:cNvPr id="0" name="award.png"/>
                    <pic:cNvPicPr/>
                  </pic:nvPicPr>
                  <pic:blipFill>
                    <a:blip r:embed="rId26"/>
                    <a:stretch>
                      <a:fillRect/>
                    </a:stretch>
                  </pic:blipFill>
                  <pic:spPr>
                    <a:xfrm>
                      <a:off x="0" y="0"/>
                      <a:ext cx="5029200" cy="1157801"/>
                    </a:xfrm>
                    <a:prstGeom prst="rect"/>
                  </pic:spPr>
                </pic:pic>
              </a:graphicData>
            </a:graphic>
          </wp:inline>
        </w:drawing>
      </w:r>
    </w:p>
    <w:p>
      <w:pPr>
        <w:spacing w:before="60" w:after="200"/>
        <w:jc w:val="center"/>
      </w:pPr>
      <w:r>
        <w:rPr>
          <w:rFonts w:ascii="Cambria" w:hAnsi="Cambria" w:eastAsia="Cambria" w:cs="Cambria"/>
          <w:i/>
          <w:color w:val="555555"/>
          <w:sz w:val="18"/>
        </w:rPr>
        <w:t>Figure 18 — Award Promotion review — issue from an Award Program</w:t>
      </w:r>
    </w:p>
    <w:p>
      <w:r>
        <w:rPr>
          <w:rFonts w:ascii="Cambria" w:hAnsi="Cambria" w:eastAsia="Cambria" w:cs="Cambria"/>
          <w:color w:val="555555"/>
          <w:sz w:val="21"/>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D.20: </w:t>
            </w:r>
            <w:r>
              <w:rPr>
                <w:rFonts w:ascii="Cambria" w:hAnsi="Cambria" w:eastAsia="Cambria" w:cs="Cambria"/>
                <w:color w:val="000000"/>
                <w:sz w:val="19"/>
              </w:rPr>
              <w:t>Verified Return Actions configured to deduct points from the returning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90" w:type="dxa"/>
              <w:bottom w:w="90" w:type="dxa"/>
              <w:left w:w="120" w:type="dxa"/>
              <w:right w:w="120" w:type="dxa"/>
              <w:start w:w="110" w:type="dxa"/>
              <w:end w:w="110" w:type="dxa"/>
            </w:tcMar>
            <w:vAlign w:val="center"/>
            <w:tcBorders>
              <w:top w:val="single" w:sz="12" w:space="0" w:color="A7DC85"/>
              <w:left w:val="single" w:sz="12" w:space="0" w:color="A7DC85"/>
              <w:bottom w:val="single" w:sz="12" w:space="0" w:color="A7DC85"/>
              <w:right w:val="single" w:sz="12" w:space="0" w:color="A7DC85"/>
            </w:tcBorders>
          </w:tcPr>
          <w:p>
            <w:pPr>
              <w:spacing w:after="40"/>
            </w:pPr>
            <w:r>
              <w:rPr>
                <w:rFonts w:ascii="Cambria" w:hAnsi="Cambria" w:eastAsia="Cambria" w:cs="Cambria"/>
                <w:b/>
                <w:color w:val="000000"/>
                <w:sz w:val="19"/>
              </w:rPr>
              <w:t xml:space="preserve">A.18: </w:t>
            </w:r>
            <w:r>
              <w:rPr>
                <w:rFonts w:ascii="Cambria" w:hAnsi="Cambria" w:eastAsia="Cambria" w:cs="Cambria"/>
                <w:color w:val="000000"/>
                <w:sz w:val="19"/>
              </w:rPr>
              <w:t>Inte Q deducts the 50 base points (and 25 bonus points for Bestie) only when a return brings the original transaction net to zero.</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90" w:type="dxa"/>
              <w:bottom w:w="90" w:type="dxa"/>
              <w:left w:w="120" w:type="dxa"/>
              <w:right w:w="120" w:type="dxa"/>
              <w:start w:w="110" w:type="dxa"/>
              <w:end w:w="110" w:type="dxa"/>
            </w:tcMar>
            <w:vAlign w:val="center"/>
            <w:tcBorders>
              <w:top w:val="single" w:sz="12" w:space="0" w:color="91C3DF"/>
              <w:left w:val="single" w:sz="12" w:space="0" w:color="91C3DF"/>
              <w:bottom w:val="single" w:sz="12" w:space="0" w:color="91C3DF"/>
              <w:right w:val="single" w:sz="12" w:space="0" w:color="91C3DF"/>
            </w:tcBorders>
          </w:tcPr>
          <w:p>
            <w:pPr>
              <w:spacing w:after="40"/>
            </w:pPr>
            <w:r>
              <w:rPr>
                <w:rFonts w:ascii="Cambria" w:hAnsi="Cambria" w:eastAsia="Cambria" w:cs="Cambria"/>
                <w:b/>
                <w:color w:val="000000"/>
                <w:sz w:val="19"/>
              </w:rPr>
              <w:t xml:space="preserve">R.18: </w:t>
            </w:r>
            <w:r>
              <w:rPr>
                <w:rFonts w:ascii="Cambria" w:hAnsi="Cambria" w:eastAsia="Cambria" w:cs="Cambria"/>
                <w:color w:val="000000"/>
                <w:sz w:val="19"/>
              </w:rPr>
              <w:t>Standard ORCE per-item reversal must be customised (or handled in Inte Q) to match Claire's full-return rule.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90" w:type="dxa"/>
              <w:bottom w:w="90" w:type="dxa"/>
              <w:left w:w="120" w:type="dxa"/>
              <w:right w:w="120" w:type="dxa"/>
              <w:start w:w="110" w:type="dxa"/>
              <w:end w:w="110" w:type="dxa"/>
            </w:tcMar>
            <w:vAlign w:val="center"/>
            <w:tcBorders>
              <w:top w:val="single" w:sz="12" w:space="0" w:color="FFC499"/>
              <w:left w:val="single" w:sz="12" w:space="0" w:color="FFC499"/>
              <w:bottom w:val="single" w:sz="12" w:space="0" w:color="FFC499"/>
              <w:right w:val="single" w:sz="12" w:space="0" w:color="FFC499"/>
            </w:tcBorders>
          </w:tcPr>
          <w:p>
            <w:pPr>
              <w:spacing w:after="40"/>
            </w:pPr>
            <w:r>
              <w:rPr>
                <w:rFonts w:ascii="Cambria" w:hAnsi="Cambria" w:eastAsia="Cambria" w:cs="Cambria"/>
                <w:b/>
                <w:color w:val="000000"/>
                <w:sz w:val="19"/>
              </w:rPr>
              <w:t xml:space="preserve">D.21: </w:t>
            </w:r>
            <w:r>
              <w:rPr>
                <w:rFonts w:ascii="Cambria" w:hAnsi="Cambria" w:eastAsia="Cambria" w:cs="Cambria"/>
                <w:color w:val="000000"/>
                <w:sz w:val="19"/>
              </w:rPr>
              <w:t>Behaviour for partial returns and returns crossing year-end requalification to be defined.</w:t>
            </w:r>
          </w:p>
        </w:tc>
      </w:tr>
    </w:tbl>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Open Points &amp; Decisions Tracker</w:t>
      </w:r>
    </w:p>
    <w:p>
      <w:r>
        <w:rPr>
          <w:rFonts w:ascii="Cambria" w:hAnsi="Cambria" w:eastAsia="Cambria" w:cs="Cambria"/>
          <w:color w:val="555555"/>
          <w:sz w:val="21"/>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ID</w:t>
            </w:r>
          </w:p>
        </w:tc>
        <w:tc>
          <w:tcPr>
            <w:tcW w:type="dxa" w:w="2304"/>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Area</w:t>
            </w:r>
          </w:p>
        </w:tc>
        <w:tc>
          <w:tcPr>
            <w:tcW w:type="dxa" w:w="864"/>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Ref</w:t>
            </w:r>
          </w:p>
        </w:tc>
        <w:tc>
          <w:tcPr>
            <w:tcW w:type="dxa" w:w="4176"/>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Description</w:t>
            </w:r>
          </w:p>
        </w:tc>
        <w:tc>
          <w:tcPr>
            <w:tcW w:type="dxa" w:w="1008"/>
            <w:vAlign w:val="center"/>
            <w:tcMar>
              <w:top w:w="90" w:type="dxa"/>
              <w:start w:w="110" w:type="dxa"/>
              <w:bottom w:w="90" w:type="dxa"/>
              <w:end w:w="110" w:type="dxa"/>
            </w:tcMar>
            <w:shd w:fill="FF8016"/>
            <w:tcBorders>
              <w:top w:val="single" w:sz="8" w:space="0" w:color="FF8016"/>
              <w:left w:val="single" w:sz="8" w:space="0" w:color="FF8016"/>
              <w:bottom w:val="single" w:sz="8" w:space="0" w:color="FF8016"/>
              <w:right w:val="single" w:sz="8" w:space="0" w:color="FF8016"/>
            </w:tcBorders>
          </w:tcPr>
          <w:p>
            <w:pPr>
              <w:spacing w:after="40"/>
            </w:pPr>
            <w:r>
              <w:rPr>
                <w:rFonts w:ascii="Cambria" w:hAnsi="Cambria" w:eastAsia="Cambria" w:cs="Cambria"/>
                <w:b/>
                <w:color w:val="FFFFFF"/>
                <w:sz w:val="19"/>
              </w:rPr>
              <w:t>Status</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OP-01</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Dashboard panels visibility per user role to be aligned with security model.</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OP-02</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D.2</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 merge strategy and data-quality ownership to be defined.</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OP-03</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D.3</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Required history retention period for the purchase profile to be defined.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OP-04</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Customers &amp; Segmentation</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D.6</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Strata boundaries and refresh frequency to be defined per use case.</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OP-05</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D.7</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 approval workflow and roles to be defined.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OP-06</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D.8</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 types in scope for go-live to be confirmed with marketing.</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OP-07</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D.9</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Discount structures required for launch campaigns to be confirmed.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OP-08</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D.10</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Coupon volumes, channels and expiry rules to be defined per campaign.</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OP-09</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D.11</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Personalization scope and audience refresh frequency to be agreed.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OP-10</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Promotions &amp; Offers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D.12</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Reporting KPIs, cadence and ownership to be defined.</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OP-11</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D.15</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Gift card tender exclusion logic — integration design required.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OP-12</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D.16</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Engagement event payload contract and trigger flows to be confirmed.</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OP-13</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D.18</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Net-spend exclusions (discounts, shipping, taxes, gift cards) to be confirmed.</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OP-14</w:t>
            </w:r>
          </w:p>
        </w:tc>
        <w:tc>
          <w:tcPr>
            <w:tcW w:type="dxa" w:w="230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D.21</w:t>
            </w:r>
          </w:p>
        </w:tc>
        <w:tc>
          <w:tcPr>
            <w:tcW w:type="dxa" w:w="4176"/>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Behaviour for partial returns and returns crossing year-end requalification.</w:t>
            </w:r>
          </w:p>
        </w:tc>
        <w:tc>
          <w:tcPr>
            <w:tcW w:type="dxa" w:w="1008"/>
            <w:vAlign w:val="center"/>
            <w:tcMar>
              <w:top w:w="90" w:type="dxa"/>
              <w:start w:w="110" w:type="dxa"/>
              <w:bottom w:w="90" w:type="dxa"/>
              <w:end w:w="110" w:type="dxa"/>
            </w:tcMar>
            <w:shd w:fill="F7F6F4"/>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r>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OP-15</w:t>
            </w:r>
          </w:p>
        </w:tc>
        <w:tc>
          <w:tcPr>
            <w:tcW w:type="dxa" w:w="230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Loyalty &amp; Awards</w:t>
            </w:r>
          </w:p>
        </w:tc>
        <w:tc>
          <w:tcPr>
            <w:tcW w:type="dxa" w:w="864"/>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A.12</w:t>
            </w:r>
          </w:p>
        </w:tc>
        <w:tc>
          <w:tcPr>
            <w:tcW w:type="dxa" w:w="4176"/>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Confirm Quebec scope (currently out of scope).</w:t>
            </w:r>
          </w:p>
        </w:tc>
        <w:tc>
          <w:tcPr>
            <w:tcW w:type="dxa" w:w="1008"/>
            <w:vAlign w:val="center"/>
            <w:tcMar>
              <w:top w:w="90" w:type="dxa"/>
              <w:start w:w="110" w:type="dxa"/>
              <w:bottom w:w="90" w:type="dxa"/>
              <w:end w:w="110" w:type="dxa"/>
            </w:tcMar>
            <w:shd w:fill="FFFFFF"/>
            <w:tcBorders>
              <w:top w:val="single" w:sz="6" w:space="0" w:color="D9D9D9"/>
              <w:left w:val="single" w:sz="6" w:space="0" w:color="D9D9D9"/>
              <w:bottom w:val="single" w:sz="6" w:space="0" w:color="D9D9D9"/>
              <w:right w:val="single" w:sz="6" w:space="0" w:color="D9D9D9"/>
            </w:tcBorders>
          </w:tcPr>
          <w:p>
            <w:pPr>
              <w:spacing w:after="40"/>
            </w:pPr>
            <w:r>
              <w:rPr>
                <w:rFonts w:ascii="Cambria" w:hAnsi="Cambria" w:eastAsia="Cambria" w:cs="Cambria"/>
                <w:color w:val="555555"/>
                <w:sz w:val="19"/>
              </w:rPr>
              <w:t>Open</w:t>
            </w:r>
          </w:p>
        </w:tc>
      </w:tr>
    </w:tbl>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Appendix</w:t>
      </w:r>
    </w:p>
    <w:p>
      <w:r>
        <w:rPr>
          <w:rFonts w:ascii="Cambria" w:hAnsi="Cambria" w:eastAsia="Cambria" w:cs="Cambria"/>
          <w:color w:val="555555"/>
          <w:sz w:val="21"/>
        </w:rPr>
        <w:t>Reference documentation used as the basis for this Solution Blueprint:</w:t>
      </w:r>
    </w:p>
    <w:p>
      <w:pPr>
        <w:pStyle w:val="ListBullet"/>
      </w:pPr>
      <w:r>
        <w:rPr>
          <w:rFonts w:ascii="Cambria" w:hAnsi="Cambria" w:eastAsia="Cambria" w:cs="Cambria"/>
          <w:color w:val="555555"/>
          <w:sz w:val="21"/>
        </w:rPr>
        <w:t>Oracle Retail Customer Engagement Cloud Service — User Guide (release 25.0.101.0)</w:t>
      </w:r>
    </w:p>
    <w:p>
      <w:pPr>
        <w:pStyle w:val="ListBullet"/>
      </w:pPr>
      <w:r>
        <w:rPr>
          <w:rFonts w:ascii="Cambria" w:hAnsi="Cambria" w:eastAsia="Cambria" w:cs="Cambria"/>
          <w:color w:val="555555"/>
          <w:sz w:val="21"/>
        </w:rPr>
        <w:t>Oracle Retail Customer Engagement Cloud Service — Implementation Guide (release 25.0.101.0)</w:t>
      </w:r>
    </w:p>
    <w:p>
      <w:pPr>
        <w:pStyle w:val="ListBullet"/>
      </w:pPr>
      <w:r>
        <w:rPr>
          <w:rFonts w:ascii="Cambria" w:hAnsi="Cambria" w:eastAsia="Cambria" w:cs="Cambria"/>
          <w:color w:val="555555"/>
          <w:sz w:val="21"/>
        </w:rPr>
        <w:t>Oracle Retail Customer Engagement Cloud Service — Batch Processing &amp; Web Services Guide (release 25.0.101.0)</w:t>
      </w:r>
    </w:p>
    <w:p>
      <w:pPr>
        <w:pStyle w:val="ListBullet"/>
      </w:pPr>
      <w:r>
        <w:rPr>
          <w:rFonts w:ascii="Cambria" w:hAnsi="Cambria" w:eastAsia="Cambria" w:cs="Cambria"/>
          <w:color w:val="555555"/>
          <w:sz w:val="21"/>
        </w:rPr>
        <w:t>Claire's Loyalty Relaunch Requirements 2026 (client BRD)</w:t>
      </w:r>
    </w:p>
    <w:p>
      <w:pPr>
        <w:pStyle w:val="ListBullet"/>
      </w:pPr>
      <w:r>
        <w:rPr>
          <w:rFonts w:ascii="Cambria" w:hAnsi="Cambria" w:eastAsia="Cambria" w:cs="Cambria"/>
          <w:color w:val="555555"/>
          <w:sz w:val="21"/>
        </w:rPr>
        <w:t>Claire's ORCE Fit Analysis v1.2</w:t>
      </w:r>
    </w:p>
    <w:p>
      <w:pPr>
        <w:pStyle w:val="ListBullet"/>
      </w:pPr>
      <w:r>
        <w:rPr>
          <w:rFonts w:ascii="Cambria" w:hAnsi="Cambria" w:eastAsia="Cambria" w:cs="Cambria"/>
          <w:color w:val="555555"/>
          <w:sz w:val="21"/>
        </w:rPr>
        <w:t>Claire's ORCE ScoreCard</w:t>
      </w:r>
    </w:p>
    <w:p>
      <w:r>
        <w:rPr>
          <w:rFonts w:ascii="Cambria" w:hAnsi="Cambria" w:eastAsia="Cambria" w:cs="Cambria"/>
          <w:color w:val="555555"/>
          <w:sz w:val="21"/>
        </w:rPr>
        <w:br w:type="page"/>
      </w:r>
    </w:p>
    <w:p>
      <w:pPr>
        <w:pStyle w:val="Heading1"/>
        <w:keepNext/>
        <w:pageBreakBefore/>
        <w:pBdr>
          <w:bottom w:val="single" w:sz="10" w:space="4" w:color="FF8016"/>
        </w:pBdr>
      </w:pPr>
      <w:r>
        <w:rPr>
          <w:rFonts w:ascii="Cambria" w:hAnsi="Cambria" w:eastAsia="Cambria" w:cs="Cambria"/>
          <w:b/>
          <w:color w:val="FF8016"/>
          <w:sz w:val="32"/>
        </w:rPr>
        <w:t>Glossary</w:t>
      </w:r>
    </w:p>
    <w:p>
      <w:r>
        <w:rPr>
          <w:rFonts w:ascii="Cambria" w:hAnsi="Cambria" w:eastAsia="Cambria" w:cs="Cambria"/>
          <w:b/>
          <w:color w:val="555555"/>
          <w:sz w:val="21"/>
        </w:rPr>
        <w:t xml:space="preserve">Award Program — </w:t>
      </w:r>
      <w:r>
        <w:rPr>
          <w:rFonts w:ascii="Cambria" w:hAnsi="Cambria" w:eastAsia="Cambria" w:cs="Cambria"/>
          <w:color w:val="555555"/>
          <w:sz w:val="21"/>
        </w:rPr>
        <w:t>A container in the loyalty module that holds awards (coupons, e-awards, certificates) and the rules that issue them.</w:t>
      </w:r>
    </w:p>
    <w:p>
      <w:r>
        <w:rPr>
          <w:rFonts w:ascii="Cambria" w:hAnsi="Cambria" w:eastAsia="Cambria" w:cs="Cambria"/>
          <w:b/>
          <w:color w:val="555555"/>
          <w:sz w:val="21"/>
        </w:rPr>
        <w:t xml:space="preserve">Award Rule — </w:t>
      </w:r>
      <w:r>
        <w:rPr>
          <w:rFonts w:ascii="Cambria" w:hAnsi="Cambria" w:eastAsia="Cambria" w:cs="Cambria"/>
          <w:color w:val="555555"/>
          <w:sz w:val="21"/>
        </w:rPr>
        <w:t>Configuration inside a loyalty program that issues an award when defined conditions are met (e.g., points threshold reached).</w:t>
      </w:r>
    </w:p>
    <w:p>
      <w:r>
        <w:rPr>
          <w:rFonts w:ascii="Cambria" w:hAnsi="Cambria" w:eastAsia="Cambria" w:cs="Cambria"/>
          <w:b/>
          <w:color w:val="555555"/>
          <w:sz w:val="21"/>
        </w:rPr>
        <w:t xml:space="preserve">Bestie — </w:t>
      </w:r>
      <w:r>
        <w:rPr>
          <w:rFonts w:ascii="Cambria" w:hAnsi="Cambria" w:eastAsia="Cambria" w:cs="Cambria"/>
          <w:color w:val="555555"/>
          <w:sz w:val="21"/>
        </w:rPr>
        <w:t>Claire's Level 2 loyalty tier. Members qualify based on annual net spend.</w:t>
      </w:r>
    </w:p>
    <w:p>
      <w:r>
        <w:rPr>
          <w:rFonts w:ascii="Cambria" w:hAnsi="Cambria" w:eastAsia="Cambria" w:cs="Cambria"/>
          <w:b/>
          <w:color w:val="555555"/>
          <w:sz w:val="21"/>
        </w:rPr>
        <w:t xml:space="preserve">Bounceback — </w:t>
      </w:r>
      <w:r>
        <w:rPr>
          <w:rFonts w:ascii="Cambria" w:hAnsi="Cambria" w:eastAsia="Cambria" w:cs="Cambria"/>
          <w:color w:val="555555"/>
          <w:sz w:val="21"/>
        </w:rPr>
        <w:t>A promotion type that, on qualifying purchase, issues a follow-up offer or coupon for a later visit.</w:t>
      </w:r>
    </w:p>
    <w:p>
      <w:r>
        <w:rPr>
          <w:rFonts w:ascii="Cambria" w:hAnsi="Cambria" w:eastAsia="Cambria" w:cs="Cambria"/>
          <w:b/>
          <w:color w:val="555555"/>
          <w:sz w:val="21"/>
        </w:rPr>
        <w:t xml:space="preserve">C.Club — </w:t>
      </w:r>
      <w:r>
        <w:rPr>
          <w:rFonts w:ascii="Cambria" w:hAnsi="Cambria" w:eastAsia="Cambria" w:cs="Cambria"/>
          <w:color w:val="555555"/>
          <w:sz w:val="21"/>
        </w:rPr>
        <w:t>Claire's Award Program used to issue the standard $5 E-Award.</w:t>
      </w:r>
    </w:p>
    <w:p>
      <w:r>
        <w:rPr>
          <w:rFonts w:ascii="Cambria" w:hAnsi="Cambria" w:eastAsia="Cambria" w:cs="Cambria"/>
          <w:b/>
          <w:color w:val="555555"/>
          <w:sz w:val="21"/>
        </w:rPr>
        <w:t xml:space="preserve">Campaign — </w:t>
      </w:r>
      <w:r>
        <w:rPr>
          <w:rFonts w:ascii="Cambria" w:hAnsi="Cambria" w:eastAsia="Cambria" w:cs="Cambria"/>
          <w:color w:val="555555"/>
          <w:sz w:val="21"/>
        </w:rPr>
        <w:t>Top-level marketing container in ORCE. Holds one or more promotions.</w:t>
      </w:r>
    </w:p>
    <w:p>
      <w:r>
        <w:rPr>
          <w:rFonts w:ascii="Cambria" w:hAnsi="Cambria" w:eastAsia="Cambria" w:cs="Cambria"/>
          <w:b/>
          <w:color w:val="555555"/>
          <w:sz w:val="21"/>
        </w:rPr>
        <w:t xml:space="preserve">Customer Dashboard — </w:t>
      </w:r>
      <w:r>
        <w:rPr>
          <w:rFonts w:ascii="Cambria" w:hAnsi="Cambria" w:eastAsia="Cambria" w:cs="Cambria"/>
          <w:color w:val="555555"/>
          <w:sz w:val="21"/>
        </w:rPr>
        <w:t>The 360° customer view in ORCE showing profile, activity, loyalty, segments and offers.</w:t>
      </w:r>
    </w:p>
    <w:p>
      <w:r>
        <w:rPr>
          <w:rFonts w:ascii="Cambria" w:hAnsi="Cambria" w:eastAsia="Cambria" w:cs="Cambria"/>
          <w:b/>
          <w:color w:val="555555"/>
          <w:sz w:val="21"/>
        </w:rPr>
        <w:t xml:space="preserve">Customer Note Type — </w:t>
      </w:r>
      <w:r>
        <w:rPr>
          <w:rFonts w:ascii="Cambria" w:hAnsi="Cambria" w:eastAsia="Cambria" w:cs="Cambria"/>
          <w:color w:val="555555"/>
          <w:sz w:val="21"/>
        </w:rPr>
        <w:t>User-defined label for customer notes. List configured in the System Property CustomerNoteTypeCodes (max 20 types). Default: COMMENT.</w:t>
      </w:r>
    </w:p>
    <w:p>
      <w:r>
        <w:rPr>
          <w:rFonts w:ascii="Cambria" w:hAnsi="Cambria" w:eastAsia="Cambria" w:cs="Cambria"/>
          <w:b/>
          <w:color w:val="555555"/>
          <w:sz w:val="21"/>
        </w:rPr>
        <w:t xml:space="preserve">Friend — </w:t>
      </w:r>
      <w:r>
        <w:rPr>
          <w:rFonts w:ascii="Cambria" w:hAnsi="Cambria" w:eastAsia="Cambria" w:cs="Cambria"/>
          <w:color w:val="555555"/>
          <w:sz w:val="21"/>
        </w:rPr>
        <w:t>Claire's Level 1 loyalty tier (entry level). All members start here.</w:t>
      </w:r>
    </w:p>
    <w:p>
      <w:r>
        <w:rPr>
          <w:rFonts w:ascii="Cambria" w:hAnsi="Cambria" w:eastAsia="Cambria" w:cs="Cambria"/>
          <w:b/>
          <w:color w:val="555555"/>
          <w:sz w:val="21"/>
        </w:rPr>
        <w:t xml:space="preserve">Inte Q — </w:t>
      </w:r>
      <w:r>
        <w:rPr>
          <w:rFonts w:ascii="Cambria" w:hAnsi="Cambria" w:eastAsia="Cambria" w:cs="Cambria"/>
          <w:color w:val="555555"/>
          <w:sz w:val="21"/>
        </w:rPr>
        <w:t>Third-party loyalty integration partner that calculates net spend and triggers level changes via web service.</w:t>
      </w:r>
    </w:p>
    <w:p>
      <w:r>
        <w:rPr>
          <w:rFonts w:ascii="Cambria" w:hAnsi="Cambria" w:eastAsia="Cambria" w:cs="Cambria"/>
          <w:b/>
          <w:color w:val="555555"/>
          <w:sz w:val="21"/>
        </w:rPr>
        <w:t xml:space="preserve">Issue Rule — </w:t>
      </w:r>
      <w:r>
        <w:rPr>
          <w:rFonts w:ascii="Cambria" w:hAnsi="Cambria" w:eastAsia="Cambria" w:cs="Cambria"/>
          <w:color w:val="555555"/>
          <w:sz w:val="21"/>
        </w:rPr>
        <w:t>Configuration inside a loyalty program that defines how customers earn points.</w:t>
      </w:r>
    </w:p>
    <w:p>
      <w:r>
        <w:rPr>
          <w:rFonts w:ascii="Cambria" w:hAnsi="Cambria" w:eastAsia="Cambria" w:cs="Cambria"/>
          <w:b/>
          <w:color w:val="555555"/>
          <w:sz w:val="21"/>
        </w:rPr>
        <w:t xml:space="preserve">Movement Rule — </w:t>
      </w:r>
      <w:r>
        <w:rPr>
          <w:rFonts w:ascii="Cambria" w:hAnsi="Cambria" w:eastAsia="Cambria" w:cs="Cambria"/>
          <w:color w:val="555555"/>
          <w:sz w:val="21"/>
        </w:rPr>
        <w:t>Configuration inside a loyalty program that defines how customers progress between loyalty levels.</w:t>
      </w:r>
    </w:p>
    <w:p>
      <w:r>
        <w:rPr>
          <w:rFonts w:ascii="Cambria" w:hAnsi="Cambria" w:eastAsia="Cambria" w:cs="Cambria"/>
          <w:b/>
          <w:color w:val="555555"/>
          <w:sz w:val="21"/>
        </w:rPr>
        <w:t xml:space="preserve">Offer — </w:t>
      </w:r>
      <w:r>
        <w:rPr>
          <w:rFonts w:ascii="Cambria" w:hAnsi="Cambria" w:eastAsia="Cambria" w:cs="Cambria"/>
          <w:color w:val="555555"/>
          <w:sz w:val="21"/>
        </w:rPr>
        <w:t>Defines the actual incentive applied. Promotions hold one or more offers.</w:t>
      </w:r>
    </w:p>
    <w:p>
      <w:r>
        <w:rPr>
          <w:rFonts w:ascii="Cambria" w:hAnsi="Cambria" w:eastAsia="Cambria" w:cs="Cambria"/>
          <w:b/>
          <w:color w:val="555555"/>
          <w:sz w:val="21"/>
        </w:rPr>
        <w:t xml:space="preserve">ORCE — </w:t>
      </w:r>
      <w:r>
        <w:rPr>
          <w:rFonts w:ascii="Cambria" w:hAnsi="Cambria" w:eastAsia="Cambria" w:cs="Cambria"/>
          <w:color w:val="555555"/>
          <w:sz w:val="21"/>
        </w:rPr>
        <w:t>Oracle Retail Customer Engagement Cloud Service.</w:t>
      </w:r>
    </w:p>
    <w:p>
      <w:r>
        <w:rPr>
          <w:rFonts w:ascii="Cambria" w:hAnsi="Cambria" w:eastAsia="Cambria" w:cs="Cambria"/>
          <w:b/>
          <w:color w:val="555555"/>
          <w:sz w:val="21"/>
        </w:rPr>
        <w:t xml:space="preserve">Personal List — </w:t>
      </w:r>
      <w:r>
        <w:rPr>
          <w:rFonts w:ascii="Cambria" w:hAnsi="Cambria" w:eastAsia="Cambria" w:cs="Cambria"/>
          <w:color w:val="555555"/>
          <w:sz w:val="21"/>
        </w:rPr>
        <w:t>A manually maintained list of customers.</w:t>
      </w:r>
    </w:p>
    <w:p>
      <w:r>
        <w:rPr>
          <w:rFonts w:ascii="Cambria" w:hAnsi="Cambria" w:eastAsia="Cambria" w:cs="Cambria"/>
          <w:b/>
          <w:color w:val="555555"/>
          <w:sz w:val="21"/>
        </w:rPr>
        <w:t xml:space="preserve">Promotion — </w:t>
      </w:r>
      <w:r>
        <w:rPr>
          <w:rFonts w:ascii="Cambria" w:hAnsi="Cambria" w:eastAsia="Cambria" w:cs="Cambria"/>
          <w:color w:val="555555"/>
          <w:sz w:val="21"/>
        </w:rPr>
        <w:t>A marketing action attached to a campaign. Has a type, dates, audience and one or more offers.</w:t>
      </w:r>
    </w:p>
    <w:p>
      <w:r>
        <w:rPr>
          <w:rFonts w:ascii="Cambria" w:hAnsi="Cambria" w:eastAsia="Cambria" w:cs="Cambria"/>
          <w:b/>
          <w:color w:val="555555"/>
          <w:sz w:val="21"/>
        </w:rPr>
        <w:t xml:space="preserve">Promotion Response Sync Import — </w:t>
      </w:r>
      <w:r>
        <w:rPr>
          <w:rFonts w:ascii="Cambria" w:hAnsi="Cambria" w:eastAsia="Cambria" w:cs="Cambria"/>
          <w:color w:val="555555"/>
          <w:sz w:val="21"/>
        </w:rPr>
        <w:t>ORCE batch that imports email response data (SENT/CLICK/OPEN/FAIL) from a marketing system such as Responsys. Creates Customer Notes for each event.</w:t>
      </w:r>
    </w:p>
    <w:p>
      <w:r>
        <w:rPr>
          <w:rFonts w:ascii="Cambria" w:hAnsi="Cambria" w:eastAsia="Cambria" w:cs="Cambria"/>
          <w:b/>
          <w:color w:val="555555"/>
          <w:sz w:val="21"/>
        </w:rPr>
        <w:t xml:space="preserve">Segment — </w:t>
      </w:r>
      <w:r>
        <w:rPr>
          <w:rFonts w:ascii="Cambria" w:hAnsi="Cambria" w:eastAsia="Cambria" w:cs="Cambria"/>
          <w:color w:val="555555"/>
          <w:sz w:val="21"/>
        </w:rPr>
        <w:t>A grouping of customers built using business criteria. Can be unstratified (flat list) or stratified (split into bands).</w:t>
      </w:r>
    </w:p>
    <w:p>
      <w:r>
        <w:rPr>
          <w:rFonts w:ascii="Cambria" w:hAnsi="Cambria" w:eastAsia="Cambria" w:cs="Cambria"/>
          <w:b/>
          <w:color w:val="555555"/>
          <w:sz w:val="21"/>
        </w:rPr>
        <w:t xml:space="preserve">Strata Query — </w:t>
      </w:r>
      <w:r>
        <w:rPr>
          <w:rFonts w:ascii="Cambria" w:hAnsi="Cambria" w:eastAsia="Cambria" w:cs="Cambria"/>
          <w:color w:val="555555"/>
          <w:sz w:val="21"/>
        </w:rPr>
        <w:t>Step in the Create Segment wizard available for Stratified segments with Strata Type Loyalty or Transaction.</w:t>
      </w:r>
    </w:p>
    <w:p>
      <w:r>
        <w:rPr>
          <w:rFonts w:ascii="Cambria" w:hAnsi="Cambria" w:eastAsia="Cambria" w:cs="Cambria"/>
          <w:b/>
          <w:color w:val="555555"/>
          <w:sz w:val="21"/>
        </w:rPr>
        <w:t xml:space="preserve">Verified Return Actions — </w:t>
      </w:r>
      <w:r>
        <w:rPr>
          <w:rFonts w:ascii="Cambria" w:hAnsi="Cambria" w:eastAsia="Cambria" w:cs="Cambria"/>
          <w:color w:val="555555"/>
          <w:sz w:val="21"/>
        </w:rPr>
        <w:t>System property that controls how loyalty points are handled on a verified return.</w:t>
      </w:r>
    </w:p>
    <w:sectPr w:rsidR="00FC693F" w:rsidRPr="0006063C" w:rsidSect="00034616">
      <w:headerReference w:type="default" r:id="rId28"/>
      <w:footerReference w:type="default" r:id="rId29"/>
      <w:pgSz w:w="11909" w:h="16834"/>
      <w:pgMar w:top="1123" w:right="1037" w:bottom="979" w:left="1037" w:header="173"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8" w:space="4" w:color="FF8016"/>
      </w:pBdr>
      <w:jc w:val="right"/>
    </w:pPr>
    <w:r>
      <w:rPr>
        <w:rFonts w:ascii="Cambria" w:hAnsi="Cambria" w:eastAsia="Cambria" w:cs="Cambria"/>
        <w:b w:val="0"/>
        <w:color w:val="555555"/>
        <w:sz w:val="12"/>
      </w:rPr>
      <w:t>Solution Blueprint | Customer Engagement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6583680" cy="146499"/>
          <wp:docPr id="1" name="Picture 1"/>
          <wp:cNvGraphicFramePr>
            <a:graphicFrameLocks noChangeAspect="1"/>
          </wp:cNvGraphicFramePr>
          <a:graphic>
            <a:graphicData uri="http://schemas.openxmlformats.org/drawingml/2006/picture">
              <pic:pic>
                <pic:nvPicPr>
                  <pic:cNvPr id="0" name="price_p2_xref30.jpeg"/>
                  <pic:cNvPicPr/>
                </pic:nvPicPr>
                <pic:blipFill>
                  <a:blip r:embed="rId1"/>
                  <a:stretch>
                    <a:fillRect/>
                  </a:stretch>
                </pic:blipFill>
                <pic:spPr>
                  <a:xfrm>
                    <a:off x="0" y="0"/>
                    <a:ext cx="6583680" cy="146499"/>
                  </a:xfrm>
                  <a:prstGeom prst="rect"/>
                </pic:spPr>
              </pic:pic>
            </a:graphicData>
          </a:graphic>
        </wp:inline>
      </w:drawing>
    </w:r>
  </w:p>
  <w:tbl>
    <w:tblPr>
      <w:tblW w:type="auto" w:w="0"/>
      <w:jc w:val="center"/>
      <w:tblLook w:firstColumn="1" w:firstRow="1" w:lastColumn="0" w:lastRow="0" w:noHBand="0" w:noVBand="1" w:val="04A0"/>
    </w:tblPr>
    <w:tblGrid>
      <w:gridCol w:w="792"/>
      <w:gridCol w:w="5544"/>
      <w:gridCol w:w="4032"/>
    </w:tblGrid>
    <w:tr>
      <w:tc>
        <w:tcPr>
          <w:tcW w:type="dxa" w:w="3456"/>
          <w:shd w:fill="FFFFFF"/>
          <w:tcMar>
            <w:top w:w="0" w:type="dxa"/>
            <w:start w:w="20" w:type="dxa"/>
            <w:bottom w:w="0" w:type="dxa"/>
            <w:end w:w="20" w:type="dxa"/>
          </w:tcMar>
        </w:tcPr>
        <w:p>
          <w:pPr>
            <w:spacing w:after="0" w:before="0"/>
          </w:pPr>
          <w:r>
            <w:rPr>
              <w:rFonts w:ascii="Cambria" w:hAnsi="Cambria" w:eastAsia="Cambria" w:cs="Cambria"/>
              <w:b/>
              <w:color w:val="555555"/>
              <w:sz w:val="12"/>
            </w:rPr>
            <w:fldChar w:fldCharType="begin"/>
            <w:instrText xml:space="preserve"> PAGE </w:instrText>
            <w:fldChar w:fldCharType="separate"/>
            <w:r>
              <w:t>1</w:t>
            </w:r>
            <w:fldChar w:fldCharType="end"/>
          </w:r>
        </w:p>
      </w:tc>
      <w:tc>
        <w:tcPr>
          <w:tcW w:type="dxa" w:w="3456"/>
          <w:shd w:fill="FFFFFF"/>
          <w:tcMar>
            <w:top w:w="0" w:type="dxa"/>
            <w:start w:w="20" w:type="dxa"/>
            <w:bottom w:w="0" w:type="dxa"/>
            <w:end w:w="20" w:type="dxa"/>
          </w:tcMar>
        </w:tcPr>
        <w:p>
          <w:pPr>
            <w:spacing w:after="0" w:before="0"/>
            <w:jc w:val="center"/>
          </w:pPr>
          <w:r>
            <w:rPr>
              <w:rFonts w:ascii="Cambria" w:hAnsi="Cambria" w:eastAsia="Cambria" w:cs="Cambria"/>
              <w:b/>
              <w:color w:val="555555"/>
              <w:sz w:val="12"/>
            </w:rPr>
            <w:t>Customer Engagement Release 1.0</w:t>
          </w:r>
        </w:p>
      </w:tc>
      <w:tc>
        <w:tcPr>
          <w:tcW w:type="dxa" w:w="3456"/>
          <w:shd w:fill="FFFFFF"/>
          <w:tcMar>
            <w:top w:w="0" w:type="dxa"/>
            <w:start w:w="20" w:type="dxa"/>
            <w:bottom w:w="0" w:type="dxa"/>
            <w:end w:w="20" w:type="dxa"/>
          </w:tcMar>
        </w:tcPr>
        <w:p>
          <w:pPr>
            <w:spacing w:after="0" w:before="0"/>
            <w:jc w:val="right"/>
          </w:pPr>
          <w:r>
            <w:rPr>
              <w:rFonts w:ascii="Cambria" w:hAnsi="Cambria" w:eastAsia="Cambria" w:cs="Cambria"/>
              <w:b/>
              <w:color w:val="555555"/>
              <w:sz w:val="12"/>
            </w:rPr>
            <w:t>Copyright (C) 2026, Retail Consult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mbria" w:hAnsi="Cambria"/>
      <w:color w:val="5555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mbria" w:hAnsi="Cambria"/>
      <w:b/>
      <w:bCs/>
      <w:color w:val="FF8016"/>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mbria" w:hAnsi="Cambria"/>
      <w:b/>
      <w:bCs/>
      <w:color w:val="5555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03" w:hanging="173"/>
      <w:contextualSpacing/>
    </w:pPr>
    <w:rPr>
      <w:rFonts w:ascii="Cambria" w:hAnsi="Cambria"/>
      <w:color w:val="55555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header" Target="header1.xml"/><Relationship Id="rId2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Redesigned to align with the Claires Price Management blueprint visual system.</dc:description>
  <cp:lastModifiedBy/>
  <cp:revision>1</cp:revision>
  <dcterms:created xsi:type="dcterms:W3CDTF">2013-12-23T23:15:00Z</dcterms:created>
  <dcterms:modified xsi:type="dcterms:W3CDTF">2013-12-23T23:15:00Z</dcterms:modified>
  <cp:category/>
</cp:coreProperties>
</file>