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drawing>
                <wp:inline xmlns:a="http://schemas.openxmlformats.org/drawingml/2006/main" xmlns:pic="http://schemas.openxmlformats.org/drawingml/2006/picture">
                  <wp:extent cx="2240280" cy="848106"/>
                  <wp:docPr id="39" name="Picture 39"/>
                  <wp:cNvGraphicFramePr>
                    <a:graphicFrameLocks noChangeAspect="1"/>
                  </wp:cNvGraphicFramePr>
                  <a:graphic>
                    <a:graphicData uri="http://schemas.openxmlformats.org/drawingml/2006/picture">
                      <pic:pic>
                        <pic:nvPicPr>
                          <pic:cNvPr id="0" name="logo_left_rendered.png"/>
                          <pic:cNvPicPr/>
                        </pic:nvPicPr>
                        <pic:blipFill>
                          <a:blip r:embed="rId51"/>
                          <a:stretch>
                            <a:fillRect/>
                          </a:stretch>
                        </pic:blipFill>
                        <pic:spPr>
                          <a:xfrm>
                            <a:off x="0" y="0"/>
                            <a:ext cx="2240280" cy="848106"/>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drawing>
                <wp:inline xmlns:a="http://schemas.openxmlformats.org/drawingml/2006/main" xmlns:pic="http://schemas.openxmlformats.org/drawingml/2006/picture">
                  <wp:extent cx="1508760" cy="441392"/>
                  <wp:docPr id="40" name="Picture 40"/>
                  <wp:cNvGraphicFramePr>
                    <a:graphicFrameLocks noChangeAspect="1"/>
                  </wp:cNvGraphicFramePr>
                  <a:graphic>
                    <a:graphicData uri="http://schemas.openxmlformats.org/drawingml/2006/picture">
                      <pic:pic>
                        <pic:nvPicPr>
                          <pic:cNvPr id="0" name="logo_right_rendered.png"/>
                          <pic:cNvPicPr/>
                        </pic:nvPicPr>
                        <pic:blipFill>
                          <a:blip r:embed="rId52"/>
                          <a:stretch>
                            <a:fillRect/>
                          </a:stretch>
                        </pic:blipFill>
                        <pic:spPr>
                          <a:xfrm>
                            <a:off x="0" y="0"/>
                            <a:ext cx="1508760" cy="441392"/>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pPr>
        <w:spacing w:after="120"/>
      </w:pPr>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pPr>
        <w:spacing w:after="120"/>
      </w:pPr>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pPr>
        <w:tabs>
          <w:tab w:pos="10224" w:val="right" w:leader="dot"/>
        </w:tabs>
        <w:spacing w:before="0" w:after="40" w:line="240" w:lineRule="auto"/>
        <w:ind w:left="0"/>
      </w:pPr>
      <w:r>
        <w:rPr>
          <w:rFonts w:ascii="Cambria" w:hAnsi="Cambria" w:eastAsia="Cambria" w:cs="Cambria"/>
          <w:b/>
          <w:vanish w:val="0"/>
          <w:color w:val="555559"/>
          <w:sz w:val="22"/>
        </w:rPr>
        <w:t>Disclaimer</w:t>
      </w:r>
      <w:r>
        <w:rPr>
          <w:rFonts w:ascii="Cambria" w:hAnsi="Cambria" w:eastAsia="Cambria" w:cs="Cambria"/>
          <w:b/>
          <w:vanish w:val="0"/>
          <w:color w:val="555559"/>
          <w:sz w:val="22"/>
        </w:rPr>
        <w:tab/>
      </w:r>
      <w:r>
        <w:rPr>
          <w:rFonts w:ascii="Cambria" w:hAnsi="Cambria" w:eastAsia="Cambria" w:cs="Cambria"/>
          <w:b/>
          <w:vanish w:val="0"/>
          <w:color w:val="555559"/>
          <w:sz w:val="22"/>
        </w:rPr>
        <w:t>2</w:t>
      </w:r>
    </w:p>
    <w:p>
      <w:pPr>
        <w:tabs>
          <w:tab w:pos="10224" w:val="right" w:leader="dot"/>
        </w:tabs>
        <w:spacing w:before="0" w:after="40" w:line="240" w:lineRule="auto"/>
        <w:ind w:left="0"/>
      </w:pPr>
      <w:r>
        <w:rPr>
          <w:rFonts w:ascii="Cambria" w:hAnsi="Cambria" w:eastAsia="Cambria" w:cs="Cambria"/>
          <w:b/>
          <w:vanish w:val="0"/>
          <w:color w:val="555559"/>
          <w:sz w:val="22"/>
        </w:rPr>
        <w:t>Change Control</w:t>
      </w:r>
      <w:r>
        <w:rPr>
          <w:rFonts w:ascii="Cambria" w:hAnsi="Cambria" w:eastAsia="Cambria" w:cs="Cambria"/>
          <w:b/>
          <w:vanish w:val="0"/>
          <w:color w:val="555559"/>
          <w:sz w:val="22"/>
        </w:rPr>
        <w:tab/>
      </w:r>
      <w:r>
        <w:rPr>
          <w:rFonts w:ascii="Cambria" w:hAnsi="Cambria" w:eastAsia="Cambria" w:cs="Cambria"/>
          <w:b/>
          <w:vanish w:val="0"/>
          <w:color w:val="555559"/>
          <w:sz w:val="22"/>
        </w:rPr>
        <w:t>3</w:t>
      </w:r>
    </w:p>
    <w:p>
      <w:pPr>
        <w:tabs>
          <w:tab w:pos="10224" w:val="right" w:leader="dot"/>
        </w:tabs>
        <w:spacing w:before="0" w:after="40" w:line="240" w:lineRule="auto"/>
        <w:ind w:left="0"/>
      </w:pPr>
      <w:r>
        <w:rPr>
          <w:rFonts w:ascii="Cambria" w:hAnsi="Cambria" w:eastAsia="Cambria" w:cs="Cambria"/>
          <w:b/>
          <w:vanish w:val="0"/>
          <w:color w:val="555559"/>
          <w:sz w:val="22"/>
        </w:rPr>
        <w:t>Document Legend</w:t>
      </w:r>
      <w:r>
        <w:rPr>
          <w:rFonts w:ascii="Cambria" w:hAnsi="Cambria" w:eastAsia="Cambria" w:cs="Cambria"/>
          <w:b/>
          <w:vanish w:val="0"/>
          <w:color w:val="555559"/>
          <w:sz w:val="22"/>
        </w:rPr>
        <w:tab/>
      </w:r>
      <w:r>
        <w:rPr>
          <w:rFonts w:ascii="Cambria" w:hAnsi="Cambria" w:eastAsia="Cambria" w:cs="Cambria"/>
          <w:b/>
          <w:vanish w:val="0"/>
          <w:color w:val="555559"/>
          <w:sz w:val="22"/>
        </w:rPr>
        <w:t>5</w:t>
      </w:r>
    </w:p>
    <w:p>
      <w:pPr>
        <w:tabs>
          <w:tab w:pos="10224" w:val="right" w:leader="dot"/>
        </w:tabs>
        <w:spacing w:before="0" w:after="40" w:line="240" w:lineRule="auto"/>
        <w:ind w:left="0"/>
      </w:pPr>
      <w:r>
        <w:rPr>
          <w:rFonts w:ascii="Cambria" w:hAnsi="Cambria" w:eastAsia="Cambria" w:cs="Cambria"/>
          <w:b/>
          <w:vanish w:val="0"/>
          <w:color w:val="555559"/>
          <w:sz w:val="22"/>
        </w:rPr>
        <w:t>Customer Engagement</w:t>
      </w:r>
      <w:r>
        <w:rPr>
          <w:rFonts w:ascii="Cambria" w:hAnsi="Cambria" w:eastAsia="Cambria" w:cs="Cambria"/>
          <w:b/>
          <w:vanish w:val="0"/>
          <w:color w:val="555559"/>
          <w:sz w:val="22"/>
        </w:rPr>
        <w:tab/>
      </w:r>
      <w:r>
        <w:rPr>
          <w:rFonts w:ascii="Cambria" w:hAnsi="Cambria" w:eastAsia="Cambria" w:cs="Cambria"/>
          <w:b/>
          <w:vanish w:val="0"/>
          <w:color w:val="555559"/>
          <w:sz w:val="22"/>
        </w:rPr>
        <w:t>6</w:t>
      </w:r>
    </w:p>
    <w:p>
      <w:pPr>
        <w:tabs>
          <w:tab w:pos="10224" w:val="right" w:leader="dot"/>
        </w:tabs>
        <w:spacing w:before="0" w:after="40" w:line="240" w:lineRule="auto"/>
        <w:ind w:left="0"/>
      </w:pPr>
      <w:r>
        <w:rPr>
          <w:rFonts w:ascii="Cambria" w:hAnsi="Cambria" w:eastAsia="Cambria" w:cs="Cambria"/>
          <w:b/>
          <w:vanish w:val="0"/>
          <w:color w:val="555559"/>
          <w:sz w:val="22"/>
        </w:rPr>
        <w:t>1. Customers &amp; Segmentation</w:t>
      </w:r>
      <w:r>
        <w:rPr>
          <w:rFonts w:ascii="Cambria" w:hAnsi="Cambria" w:eastAsia="Cambria" w:cs="Cambria"/>
          <w:b/>
          <w:vanish w:val="0"/>
          <w:color w:val="555559"/>
          <w:sz w:val="22"/>
        </w:rPr>
        <w:tab/>
      </w:r>
      <w:r>
        <w:rPr>
          <w:rFonts w:ascii="Cambria" w:hAnsi="Cambria" w:eastAsia="Cambria" w:cs="Cambria"/>
          <w:b/>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1.1 Customer Dashboard</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1.2 Customer Profile &amp; Information</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1.3 Activity &amp; Purchase Profile</w:t>
      </w:r>
      <w:r>
        <w:rPr>
          <w:rFonts w:ascii="Cambria" w:hAnsi="Cambria" w:eastAsia="Cambria" w:cs="Cambria"/>
          <w:b w:val="0"/>
          <w:vanish w:val="0"/>
          <w:color w:val="555559"/>
          <w:sz w:val="22"/>
        </w:rPr>
        <w:tab/>
      </w:r>
      <w:r>
        <w:rPr>
          <w:rFonts w:ascii="Cambria" w:hAnsi="Cambria" w:eastAsia="Cambria" w:cs="Cambria"/>
          <w:b w:val="0"/>
          <w:vanish w:val="0"/>
          <w:color w:val="555559"/>
          <w:sz w:val="22"/>
        </w:rPr>
        <w:t>9</w:t>
      </w:r>
    </w:p>
    <w:p>
      <w:pPr>
        <w:tabs>
          <w:tab w:pos="9864" w:val="right" w:leader="dot"/>
        </w:tabs>
        <w:spacing w:before="0" w:after="40" w:line="240" w:lineRule="auto"/>
        <w:ind w:left="360"/>
      </w:pPr>
      <w:r>
        <w:rPr>
          <w:rFonts w:ascii="Cambria" w:hAnsi="Cambria" w:eastAsia="Cambria" w:cs="Cambria"/>
          <w:b w:val="0"/>
          <w:vanish w:val="0"/>
          <w:color w:val="555559"/>
          <w:sz w:val="22"/>
        </w:rPr>
        <w:t>1.4 Loyalty Visibility</w:t>
      </w:r>
      <w:r>
        <w:rPr>
          <w:rFonts w:ascii="Cambria" w:hAnsi="Cambria" w:eastAsia="Cambria" w:cs="Cambria"/>
          <w:b w:val="0"/>
          <w:vanish w:val="0"/>
          <w:color w:val="555559"/>
          <w:sz w:val="22"/>
        </w:rPr>
        <w:tab/>
      </w:r>
      <w:r>
        <w:rPr>
          <w:rFonts w:ascii="Cambria" w:hAnsi="Cambria" w:eastAsia="Cambria" w:cs="Cambria"/>
          <w:b w:val="0"/>
          <w:vanish w:val="0"/>
          <w:color w:val="555559"/>
          <w:sz w:val="22"/>
        </w:rPr>
        <w:t>9</w:t>
      </w:r>
    </w:p>
    <w:p>
      <w:pPr>
        <w:tabs>
          <w:tab w:pos="9864" w:val="right" w:leader="dot"/>
        </w:tabs>
        <w:spacing w:before="0" w:after="40" w:line="240" w:lineRule="auto"/>
        <w:ind w:left="360"/>
      </w:pPr>
      <w:r>
        <w:rPr>
          <w:rFonts w:ascii="Cambria" w:hAnsi="Cambria" w:eastAsia="Cambria" w:cs="Cambria"/>
          <w:b w:val="0"/>
          <w:vanish w:val="0"/>
          <w:color w:val="555559"/>
          <w:sz w:val="22"/>
        </w:rPr>
        <w:t>1.5 Customer Segmentation</w:t>
      </w:r>
      <w:r>
        <w:rPr>
          <w:rFonts w:ascii="Cambria" w:hAnsi="Cambria" w:eastAsia="Cambria" w:cs="Cambria"/>
          <w:b w:val="0"/>
          <w:vanish w:val="0"/>
          <w:color w:val="555559"/>
          <w:sz w:val="22"/>
        </w:rPr>
        <w:tab/>
      </w:r>
      <w:r>
        <w:rPr>
          <w:rFonts w:ascii="Cambria" w:hAnsi="Cambria" w:eastAsia="Cambria" w:cs="Cambria"/>
          <w:b w:val="0"/>
          <w:vanish w:val="0"/>
          <w:color w:val="555559"/>
          <w:sz w:val="22"/>
        </w:rPr>
        <w:t>10</w:t>
      </w:r>
    </w:p>
    <w:p>
      <w:pPr>
        <w:tabs>
          <w:tab w:pos="9864" w:val="right" w:leader="dot"/>
        </w:tabs>
        <w:spacing w:before="0" w:after="40" w:line="240" w:lineRule="auto"/>
        <w:ind w:left="360"/>
      </w:pPr>
      <w:r>
        <w:rPr>
          <w:rFonts w:ascii="Cambria" w:hAnsi="Cambria" w:eastAsia="Cambria" w:cs="Cambria"/>
          <w:b w:val="0"/>
          <w:vanish w:val="0"/>
          <w:color w:val="555559"/>
          <w:sz w:val="22"/>
        </w:rPr>
        <w:t>1.6 Stratified Segments</w:t>
      </w:r>
      <w:r>
        <w:rPr>
          <w:rFonts w:ascii="Cambria" w:hAnsi="Cambria" w:eastAsia="Cambria" w:cs="Cambria"/>
          <w:b w:val="0"/>
          <w:vanish w:val="0"/>
          <w:color w:val="555559"/>
          <w:sz w:val="22"/>
        </w:rPr>
        <w:tab/>
      </w:r>
      <w:r>
        <w:rPr>
          <w:rFonts w:ascii="Cambria" w:hAnsi="Cambria" w:eastAsia="Cambria" w:cs="Cambria"/>
          <w:b w:val="0"/>
          <w:vanish w:val="0"/>
          <w:color w:val="555559"/>
          <w:sz w:val="22"/>
        </w:rPr>
        <w:t>11</w:t>
      </w:r>
    </w:p>
    <w:p>
      <w:pPr>
        <w:tabs>
          <w:tab w:pos="10224" w:val="right" w:leader="dot"/>
        </w:tabs>
        <w:spacing w:before="0" w:after="40" w:line="240" w:lineRule="auto"/>
        <w:ind w:left="0"/>
      </w:pPr>
      <w:r>
        <w:rPr>
          <w:rFonts w:ascii="Cambria" w:hAnsi="Cambria" w:eastAsia="Cambria" w:cs="Cambria"/>
          <w:b/>
          <w:vanish w:val="0"/>
          <w:color w:val="555559"/>
          <w:sz w:val="22"/>
        </w:rPr>
        <w:t>2. Promotions &amp; Offers</w:t>
      </w:r>
      <w:r>
        <w:rPr>
          <w:rFonts w:ascii="Cambria" w:hAnsi="Cambria" w:eastAsia="Cambria" w:cs="Cambria"/>
          <w:b/>
          <w:vanish w:val="0"/>
          <w:color w:val="555559"/>
          <w:sz w:val="22"/>
        </w:rPr>
        <w:tab/>
      </w:r>
      <w:r>
        <w:rPr>
          <w:rFonts w:ascii="Cambria" w:hAnsi="Cambria" w:eastAsia="Cambria" w:cs="Cambria"/>
          <w:b/>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2.1 Campaign &amp; Promotion Management</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2.2 Promotion Types</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2.3 Offers &amp; Discount Structures</w:t>
      </w:r>
      <w:r>
        <w:rPr>
          <w:rFonts w:ascii="Cambria" w:hAnsi="Cambria" w:eastAsia="Cambria" w:cs="Cambria"/>
          <w:b w:val="0"/>
          <w:vanish w:val="0"/>
          <w:color w:val="555559"/>
          <w:sz w:val="22"/>
        </w:rPr>
        <w:tab/>
      </w:r>
      <w:r>
        <w:rPr>
          <w:rFonts w:ascii="Cambria" w:hAnsi="Cambria" w:eastAsia="Cambria" w:cs="Cambria"/>
          <w:b w:val="0"/>
          <w:vanish w:val="0"/>
          <w:color w:val="555559"/>
          <w:sz w:val="22"/>
        </w:rPr>
        <w:t>14</w:t>
      </w:r>
    </w:p>
    <w:p>
      <w:pPr>
        <w:tabs>
          <w:tab w:pos="9864" w:val="right" w:leader="dot"/>
        </w:tabs>
        <w:spacing w:before="0" w:after="40" w:line="240" w:lineRule="auto"/>
        <w:ind w:left="360"/>
      </w:pPr>
      <w:r>
        <w:rPr>
          <w:rFonts w:ascii="Cambria" w:hAnsi="Cambria" w:eastAsia="Cambria" w:cs="Cambria"/>
          <w:b w:val="0"/>
          <w:vanish w:val="0"/>
          <w:color w:val="555559"/>
          <w:sz w:val="22"/>
        </w:rPr>
        <w:t>2.4 Coupons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2.5 Targeted &amp; Personalized Promotions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2.6 Promotion &amp; Offer Scorecards</w:t>
      </w:r>
      <w:r>
        <w:rPr>
          <w:rFonts w:ascii="Cambria" w:hAnsi="Cambria" w:eastAsia="Cambria" w:cs="Cambria"/>
          <w:b w:val="0"/>
          <w:vanish w:val="0"/>
          <w:color w:val="555559"/>
          <w:sz w:val="22"/>
        </w:rPr>
        <w:tab/>
      </w:r>
      <w:r>
        <w:rPr>
          <w:rFonts w:ascii="Cambria" w:hAnsi="Cambria" w:eastAsia="Cambria" w:cs="Cambria"/>
          <w:b w:val="0"/>
          <w:vanish w:val="0"/>
          <w:color w:val="555559"/>
          <w:sz w:val="22"/>
        </w:rPr>
        <w:t>16</w:t>
      </w:r>
    </w:p>
    <w:p>
      <w:pPr>
        <w:tabs>
          <w:tab w:pos="10224" w:val="right" w:leader="dot"/>
        </w:tabs>
        <w:spacing w:before="0" w:after="40" w:line="240" w:lineRule="auto"/>
        <w:ind w:left="0"/>
      </w:pPr>
      <w:r>
        <w:rPr>
          <w:rFonts w:ascii="Cambria" w:hAnsi="Cambria" w:eastAsia="Cambria" w:cs="Cambria"/>
          <w:b/>
          <w:vanish w:val="0"/>
          <w:color w:val="555559"/>
          <w:sz w:val="22"/>
        </w:rPr>
        <w:t>3. Loyalty &amp; Awards</w:t>
      </w:r>
      <w:r>
        <w:rPr>
          <w:rFonts w:ascii="Cambria" w:hAnsi="Cambria" w:eastAsia="Cambria" w:cs="Cambria"/>
          <w:b/>
          <w:vanish w:val="0"/>
          <w:color w:val="555559"/>
          <w:sz w:val="22"/>
        </w:rPr>
        <w:tab/>
      </w:r>
      <w:r>
        <w:rPr>
          <w:rFonts w:ascii="Cambria" w:hAnsi="Cambria" w:eastAsia="Cambria" w:cs="Cambria"/>
          <w:b/>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3.1 Loyalty Program &amp; Levels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3.2 Issue Rules — Earning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3.3 Marketing Engagement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19</w:t>
      </w:r>
    </w:p>
    <w:p>
      <w:pPr>
        <w:tabs>
          <w:tab w:pos="9864" w:val="right" w:leader="dot"/>
        </w:tabs>
        <w:spacing w:before="0" w:after="40" w:line="240" w:lineRule="auto"/>
        <w:ind w:left="360"/>
      </w:pPr>
      <w:r>
        <w:rPr>
          <w:rFonts w:ascii="Cambria" w:hAnsi="Cambria" w:eastAsia="Cambria" w:cs="Cambria"/>
          <w:b w:val="0"/>
          <w:vanish w:val="0"/>
          <w:color w:val="555559"/>
          <w:sz w:val="22"/>
        </w:rPr>
        <w:t>3.4 Movement Rules — Tier Progression</w:t>
      </w:r>
      <w:r>
        <w:rPr>
          <w:rFonts w:ascii="Cambria" w:hAnsi="Cambria" w:eastAsia="Cambria" w:cs="Cambria"/>
          <w:b w:val="0"/>
          <w:vanish w:val="0"/>
          <w:color w:val="555559"/>
          <w:sz w:val="22"/>
        </w:rPr>
        <w:tab/>
      </w:r>
      <w:r>
        <w:rPr>
          <w:rFonts w:ascii="Cambria" w:hAnsi="Cambria" w:eastAsia="Cambria" w:cs="Cambria"/>
          <w:b w:val="0"/>
          <w:vanish w:val="0"/>
          <w:color w:val="555559"/>
          <w:sz w:val="22"/>
        </w:rPr>
        <w:t>20</w:t>
      </w:r>
    </w:p>
    <w:p>
      <w:pPr>
        <w:tabs>
          <w:tab w:pos="9864" w:val="right" w:leader="dot"/>
        </w:tabs>
        <w:spacing w:before="0" w:after="40" w:line="240" w:lineRule="auto"/>
        <w:ind w:left="360"/>
      </w:pPr>
      <w:r>
        <w:rPr>
          <w:rFonts w:ascii="Cambria" w:hAnsi="Cambria" w:eastAsia="Cambria" w:cs="Cambria"/>
          <w:b w:val="0"/>
          <w:vanish w:val="0"/>
          <w:color w:val="555559"/>
          <w:sz w:val="22"/>
        </w:rPr>
        <w:t>3.5 Awards &amp; Rewards</w:t>
      </w:r>
      <w:r>
        <w:rPr>
          <w:rFonts w:ascii="Cambria" w:hAnsi="Cambria" w:eastAsia="Cambria" w:cs="Cambria"/>
          <w:b w:val="0"/>
          <w:vanish w:val="0"/>
          <w:color w:val="555559"/>
          <w:sz w:val="22"/>
        </w:rPr>
        <w:tab/>
      </w:r>
      <w:r>
        <w:rPr>
          <w:rFonts w:ascii="Cambria" w:hAnsi="Cambria" w:eastAsia="Cambria" w:cs="Cambria"/>
          <w:b w:val="0"/>
          <w:vanish w:val="0"/>
          <w:color w:val="555559"/>
          <w:sz w:val="22"/>
        </w:rPr>
        <w:t>21</w:t>
      </w:r>
    </w:p>
    <w:p>
      <w:pPr>
        <w:tabs>
          <w:tab w:pos="9864" w:val="right" w:leader="dot"/>
        </w:tabs>
        <w:spacing w:before="0" w:after="40" w:line="240" w:lineRule="auto"/>
        <w:ind w:left="360"/>
      </w:pPr>
      <w:r>
        <w:rPr>
          <w:rFonts w:ascii="Cambria" w:hAnsi="Cambria" w:eastAsia="Cambria" w:cs="Cambria"/>
          <w:b w:val="0"/>
          <w:vanish w:val="0"/>
          <w:color w:val="555559"/>
          <w:sz w:val="22"/>
        </w:rPr>
        <w:t>3.6 Returns &amp; Point Deduction</w:t>
      </w:r>
      <w:r>
        <w:rPr>
          <w:rFonts w:ascii="Cambria" w:hAnsi="Cambria" w:eastAsia="Cambria" w:cs="Cambria"/>
          <w:b w:val="0"/>
          <w:vanish w:val="0"/>
          <w:color w:val="555559"/>
          <w:sz w:val="22"/>
        </w:rPr>
        <w:tab/>
      </w:r>
      <w:r>
        <w:rPr>
          <w:rFonts w:ascii="Cambria" w:hAnsi="Cambria" w:eastAsia="Cambria" w:cs="Cambria"/>
          <w:b w:val="0"/>
          <w:vanish w:val="0"/>
          <w:color w:val="555559"/>
          <w:sz w:val="22"/>
        </w:rPr>
        <w:t>22</w:t>
      </w:r>
    </w:p>
    <w:p>
      <w:pPr>
        <w:tabs>
          <w:tab w:pos="10224" w:val="right" w:leader="dot"/>
        </w:tabs>
        <w:spacing w:before="0" w:after="40" w:line="240" w:lineRule="auto"/>
        <w:ind w:left="0"/>
      </w:pPr>
      <w:r>
        <w:rPr>
          <w:rFonts w:ascii="Cambria" w:hAnsi="Cambria" w:eastAsia="Cambria" w:cs="Cambria"/>
          <w:b/>
          <w:vanish w:val="0"/>
          <w:color w:val="555559"/>
          <w:sz w:val="22"/>
        </w:rPr>
        <w:t>Open Points &amp; Decisions Tracker</w:t>
      </w:r>
      <w:r>
        <w:rPr>
          <w:rFonts w:ascii="Cambria" w:hAnsi="Cambria" w:eastAsia="Cambria" w:cs="Cambria"/>
          <w:b/>
          <w:vanish w:val="0"/>
          <w:color w:val="555559"/>
          <w:sz w:val="22"/>
        </w:rPr>
        <w:tab/>
      </w:r>
      <w:r>
        <w:rPr>
          <w:rFonts w:ascii="Cambria" w:hAnsi="Cambria" w:eastAsia="Cambria" w:cs="Cambria"/>
          <w:b/>
          <w:vanish w:val="0"/>
          <w:color w:val="555559"/>
          <w:sz w:val="22"/>
        </w:rPr>
        <w:t>23</w:t>
      </w:r>
    </w:p>
    <w:p>
      <w:pPr>
        <w:tabs>
          <w:tab w:pos="10224" w:val="right" w:leader="dot"/>
        </w:tabs>
        <w:spacing w:before="0" w:after="40" w:line="240" w:lineRule="auto"/>
        <w:ind w:left="0"/>
      </w:pPr>
      <w:r>
        <w:rPr>
          <w:rFonts w:ascii="Cambria" w:hAnsi="Cambria" w:eastAsia="Cambria" w:cs="Cambria"/>
          <w:b/>
          <w:vanish w:val="0"/>
          <w:color w:val="555559"/>
          <w:sz w:val="22"/>
        </w:rPr>
        <w:t>Appendix</w:t>
      </w:r>
      <w:r>
        <w:rPr>
          <w:rFonts w:ascii="Cambria" w:hAnsi="Cambria" w:eastAsia="Cambria" w:cs="Cambria"/>
          <w:b/>
          <w:vanish w:val="0"/>
          <w:color w:val="555559"/>
          <w:sz w:val="22"/>
        </w:rPr>
        <w:tab/>
      </w:r>
      <w:r>
        <w:rPr>
          <w:rFonts w:ascii="Cambria" w:hAnsi="Cambria" w:eastAsia="Cambria" w:cs="Cambria"/>
          <w:b/>
          <w:vanish w:val="0"/>
          <w:color w:val="555559"/>
          <w:sz w:val="22"/>
        </w:rPr>
        <w:t>25</w:t>
      </w:r>
    </w:p>
    <w:p>
      <w:pPr>
        <w:tabs>
          <w:tab w:pos="10224" w:val="right" w:leader="dot"/>
        </w:tabs>
        <w:spacing w:before="0" w:after="40" w:line="240" w:lineRule="auto"/>
        <w:ind w:left="0"/>
      </w:pPr>
      <w:r>
        <w:rPr>
          <w:rFonts w:ascii="Cambria" w:hAnsi="Cambria" w:eastAsia="Cambria" w:cs="Cambria"/>
          <w:b/>
          <w:vanish w:val="0"/>
          <w:color w:val="555559"/>
          <w:sz w:val="22"/>
        </w:rPr>
        <w:t>Glossary</w:t>
      </w:r>
      <w:r>
        <w:rPr>
          <w:rFonts w:ascii="Cambria" w:hAnsi="Cambria" w:eastAsia="Cambria" w:cs="Cambria"/>
          <w:b/>
          <w:vanish w:val="0"/>
          <w:color w:val="555559"/>
          <w:sz w:val="22"/>
        </w:rPr>
        <w:tab/>
      </w:r>
      <w:r>
        <w:rPr>
          <w:rFonts w:ascii="Cambria" w:hAnsi="Cambria" w:eastAsia="Cambria" w:cs="Cambria"/>
          <w:b/>
          <w:vanish w:val="0"/>
          <w:color w:val="555559"/>
          <w:sz w:val="22"/>
        </w:rPr>
        <w:t>26</w:t>
      </w:r>
      <w:r>
        <w:rPr>
          <w:rFonts w:ascii="Cambria" w:hAnsi="Cambria" w:eastAsia="Cambria" w:cs="Cambria"/>
          <w:b w:val="0"/>
          <w:vanish/>
          <w:color w:val="FFFFFF"/>
          <w:sz w:val="2"/>
        </w:rPr>
        <w:br/>
        <w:t>(Right-click and select 'Update Field' to refresh the Table of Contents.)</w:t>
      </w:r>
    </w:p>
    <w:p>
      <w:pPr>
        <w:pStyle w:val="Heading1"/>
        <w:pageBreakBefore/>
        <w:pBdr>
          <w:bottom w:val="single" w:sz="10" w:space="4" w:color="FF6B00"/>
        </w:pBdr>
      </w:pPr>
      <w:r>
        <w:rPr>
          <w:rFonts w:ascii="Cambria" w:hAnsi="Cambria" w:eastAsia="Cambria" w:cs="Cambria"/>
          <w:b/>
          <w:color w:val="FF6B00"/>
          <w:sz w:val="32"/>
        </w:rPr>
        <w:t>Document Legend</w:t>
      </w:r>
    </w:p>
    <w:p>
      <w:pPr>
        <w:spacing w:after="120"/>
      </w:pPr>
      <w:r>
        <w:rPr>
          <w:rFonts w:ascii="Cambria" w:hAnsi="Cambria" w:eastAsia="Cambria" w:cs="Cambria"/>
          <w:color w:val="555559"/>
          <w:sz w:val="22"/>
        </w:rPr>
        <w:t>Throughout this document, important pieces of information are highlighted using the following coloured callout boxes:</w:t>
      </w:r>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Requirements identified are highlighted in blue.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Decisions taken are highlighted in orange.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Assumptions made are highlighted in green.</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Open points requiring validation or confirmation are highlighted in yellow.</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pPr>
        <w:spacing w:after="120"/>
      </w:pPr>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pPr>
        <w:spacing w:after="120"/>
      </w:pPr>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pPr>
        <w:spacing w:after="120"/>
      </w:pPr>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pPr>
        <w:spacing w:after="120"/>
      </w:pPr>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560" w:after="80"/>
        <w:jc w:val="center"/>
      </w:pPr>
      <w:r>
        <w:drawing>
          <wp:inline xmlns:a="http://schemas.openxmlformats.org/drawingml/2006/main" xmlns:pic="http://schemas.openxmlformats.org/drawingml/2006/picture">
            <wp:extent cx="5029200" cy="2404665"/>
            <wp:docPr id="21" name="Picture 21"/>
            <wp:cNvGraphicFramePr>
              <a:graphicFrameLocks noChangeAspect="1"/>
            </wp:cNvGraphicFramePr>
            <a:graphic>
              <a:graphicData uri="http://schemas.openxmlformats.org/drawingml/2006/picture">
                <pic:pic>
                  <pic:nvPicPr>
                    <pic:cNvPr id="0" name="image_01.png"/>
                    <pic:cNvPicPr/>
                  </pic:nvPicPr>
                  <pic:blipFill>
                    <a:blip r:embed="rId33"/>
                    <a:stretch>
                      <a:fillRect/>
                    </a:stretch>
                  </pic:blipFill>
                  <pic:spPr>
                    <a:xfrm>
                      <a:off x="0" y="0"/>
                      <a:ext cx="5029200" cy="2404665"/>
                    </a:xfrm>
                    <a:prstGeom prst="rect"/>
                  </pic:spPr>
                </pic:pic>
              </a:graphicData>
            </a:graphic>
          </wp:inline>
        </w:drawing>
      </w:r>
    </w:p>
    <w:p>
      <w:pPr>
        <w:spacing w:before="0" w:after="240"/>
        <w:jc w:val="center"/>
      </w:pPr>
      <w:r>
        <w:rPr>
          <w:rFonts w:ascii="Cambria" w:hAnsi="Cambria" w:eastAsia="Cambria" w:cs="Cambria"/>
          <w:i/>
          <w:color w:val="555559"/>
          <w:sz w:val="18"/>
        </w:rPr>
        <w:t>Figure 1 — Customer Dashboard — the consolidated 360° view in ORCE</w:t>
      </w:r>
    </w:p>
    <w:p>
      <w:pPr>
        <w:spacing w:after="120"/>
      </w:pPr>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 </w:t>
            </w:r>
            <w:r>
              <w:rPr>
                <w:rFonts w:ascii="Cambria" w:hAnsi="Cambria" w:eastAsia="Cambria" w:cs="Cambria"/>
                <w:b w:val="0"/>
                <w:color w:val="000000"/>
                <w:sz w:val="22"/>
              </w:rPr>
              <w:t>Store associates will use the Customer Dashboard as the primary clienteling screen across stores in the USA and Canada.</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 </w:t>
            </w:r>
            <w:r>
              <w:rPr>
                <w:rFonts w:ascii="Cambria" w:hAnsi="Cambria" w:eastAsia="Cambria" w:cs="Cambria"/>
                <w:b w:val="0"/>
                <w:color w:val="000000"/>
                <w:sz w:val="22"/>
              </w:rPr>
              <w:t>A single 360° customer view must be available to associates and back-office users.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 </w:t>
            </w:r>
            <w:r>
              <w:rPr>
                <w:rFonts w:ascii="Cambria" w:hAnsi="Cambria" w:eastAsia="Cambria" w:cs="Cambria"/>
                <w:b w:val="0"/>
                <w:color w:val="000000"/>
                <w:sz w:val="22"/>
              </w:rPr>
              <w:t>Dashboard panels visibility per user role to be aligned with Claire's security model.</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OP-01: Dashboard panels visibility per user role to be aligned with security model.</w:t>
            </w:r>
          </w:p>
        </w:tc>
      </w:tr>
    </w:tbl>
    <w:p/>
    <w:p>
      <w:pPr>
        <w:pStyle w:val="Heading2"/>
        <w:pBdr>
          <w:bottom w:val="single" w:sz="5" w:space="4" w:color="E2E0DD"/>
        </w:pBdr>
      </w:pPr>
      <w:r>
        <w:rPr>
          <w:rFonts w:ascii="Cambria" w:hAnsi="Cambria" w:eastAsia="Cambria" w:cs="Cambria"/>
          <w:b/>
          <w:color w:val="555559"/>
          <w:sz w:val="27"/>
        </w:rPr>
        <w:t>1.2 Customer Profile &amp; Information</w:t>
      </w:r>
    </w:p>
    <w:p>
      <w:pPr>
        <w:spacing w:after="120"/>
      </w:pPr>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560" w:after="80"/>
        <w:jc w:val="center"/>
      </w:pPr>
      <w:r>
        <w:drawing>
          <wp:inline xmlns:a="http://schemas.openxmlformats.org/drawingml/2006/main" xmlns:pic="http://schemas.openxmlformats.org/drawingml/2006/picture">
            <wp:extent cx="5029200" cy="3967696"/>
            <wp:docPr id="22" name="Picture 22"/>
            <wp:cNvGraphicFramePr>
              <a:graphicFrameLocks noChangeAspect="1"/>
            </wp:cNvGraphicFramePr>
            <a:graphic>
              <a:graphicData uri="http://schemas.openxmlformats.org/drawingml/2006/picture">
                <pic:pic>
                  <pic:nvPicPr>
                    <pic:cNvPr id="0" name="image_02.png"/>
                    <pic:cNvPicPr/>
                  </pic:nvPicPr>
                  <pic:blipFill>
                    <a:blip r:embed="rId34"/>
                    <a:stretch>
                      <a:fillRect/>
                    </a:stretch>
                  </pic:blipFill>
                  <pic:spPr>
                    <a:xfrm>
                      <a:off x="0" y="0"/>
                      <a:ext cx="5029200" cy="3967696"/>
                    </a:xfrm>
                    <a:prstGeom prst="rect"/>
                  </pic:spPr>
                </pic:pic>
              </a:graphicData>
            </a:graphic>
          </wp:inline>
        </w:drawing>
      </w:r>
    </w:p>
    <w:p>
      <w:pPr>
        <w:spacing w:before="0" w:after="240"/>
        <w:jc w:val="center"/>
      </w:pPr>
      <w:r>
        <w:rPr>
          <w:rFonts w:ascii="Cambria" w:hAnsi="Cambria" w:eastAsia="Cambria" w:cs="Cambria"/>
          <w:i/>
          <w:color w:val="555559"/>
          <w:sz w:val="18"/>
        </w:rPr>
        <w:t>Figure 2 — Customer Information panel — profile, contact data and preferences</w:t>
      </w:r>
    </w:p>
    <w:p>
      <w:pPr>
        <w:spacing w:after="120"/>
      </w:pPr>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A.2: </w:t>
            </w:r>
            <w:r>
              <w:rPr>
                <w:rFonts w:ascii="Cambria" w:hAnsi="Cambria" w:eastAsia="Cambria" w:cs="Cambria"/>
                <w:b w:val="0"/>
                <w:color w:val="000000"/>
                <w:sz w:val="22"/>
              </w:rPr>
              <w:t>The customer master is created and maintained primarily through POS, with online sign-up adding additional records.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R.2: </w:t>
            </w:r>
            <w:r>
              <w:rPr>
                <w:rFonts w:ascii="Cambria" w:hAnsi="Cambria" w:eastAsia="Cambria" w:cs="Cambria"/>
                <w:b w:val="0"/>
                <w:color w:val="000000"/>
                <w:sz w:val="22"/>
              </w:rPr>
              <w:t>Capture contact data, communication preferences and consent (email / SMS / mail) for every customer.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D.2: </w:t>
            </w:r>
            <w:r>
              <w:rPr>
                <w:rFonts w:ascii="Cambria" w:hAnsi="Cambria" w:eastAsia="Cambria" w:cs="Cambria"/>
                <w:b w:val="0"/>
                <w:color w:val="000000"/>
                <w:sz w:val="22"/>
              </w:rPr>
              <w:t>Customer merge strategy and data-quality ownership to be defined with the marketing team.</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OP-02: Customer merge strategy and data-quality ownership to be defined.</w:t>
            </w:r>
          </w:p>
        </w:tc>
      </w:tr>
    </w:tbl>
    <w:p/>
    <w:p>
      <w:pPr>
        <w:pStyle w:val="Heading2"/>
        <w:pBdr>
          <w:bottom w:val="single" w:sz="5" w:space="4" w:color="E2E0DD"/>
        </w:pBdr>
      </w:pPr>
      <w:r>
        <w:rPr>
          <w:rFonts w:ascii="Cambria" w:hAnsi="Cambria" w:eastAsia="Cambria" w:cs="Cambria"/>
          <w:b/>
          <w:color w:val="555559"/>
          <w:sz w:val="27"/>
        </w:rPr>
        <w:t>1.3 Activity &amp; Purchase Profile</w:t>
      </w:r>
    </w:p>
    <w:p>
      <w:pPr>
        <w:spacing w:after="120"/>
      </w:pPr>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560" w:after="80"/>
        <w:jc w:val="center"/>
      </w:pPr>
      <w:r>
        <w:drawing>
          <wp:inline xmlns:a="http://schemas.openxmlformats.org/drawingml/2006/main" xmlns:pic="http://schemas.openxmlformats.org/drawingml/2006/picture">
            <wp:extent cx="5029200" cy="2803735"/>
            <wp:docPr id="23" name="Picture 23"/>
            <wp:cNvGraphicFramePr>
              <a:graphicFrameLocks noChangeAspect="1"/>
            </wp:cNvGraphicFramePr>
            <a:graphic>
              <a:graphicData uri="http://schemas.openxmlformats.org/drawingml/2006/picture">
                <pic:pic>
                  <pic:nvPicPr>
                    <pic:cNvPr id="0" name="image_03.png"/>
                    <pic:cNvPicPr/>
                  </pic:nvPicPr>
                  <pic:blipFill>
                    <a:blip r:embed="rId35"/>
                    <a:stretch>
                      <a:fillRect/>
                    </a:stretch>
                  </pic:blipFill>
                  <pic:spPr>
                    <a:xfrm>
                      <a:off x="0" y="0"/>
                      <a:ext cx="5029200" cy="2803735"/>
                    </a:xfrm>
                    <a:prstGeom prst="rect"/>
                  </pic:spPr>
                </pic:pic>
              </a:graphicData>
            </a:graphic>
          </wp:inline>
        </w:drawing>
      </w:r>
    </w:p>
    <w:p>
      <w:pPr>
        <w:spacing w:before="0" w:after="240"/>
        <w:jc w:val="center"/>
      </w:pPr>
      <w:r>
        <w:rPr>
          <w:rFonts w:ascii="Cambria" w:hAnsi="Cambria" w:eastAsia="Cambria" w:cs="Cambria"/>
          <w:i/>
          <w:color w:val="555559"/>
          <w:sz w:val="18"/>
        </w:rPr>
        <w:t>Figure 3 — Purchase Profile — purchase pattern by department over a rolling multi-year view</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A.3: </w:t>
            </w:r>
            <w:r>
              <w:rPr>
                <w:rFonts w:ascii="Cambria" w:hAnsi="Cambria" w:eastAsia="Cambria" w:cs="Cambria"/>
                <w:b w:val="0"/>
                <w:color w:val="000000"/>
                <w:sz w:val="22"/>
              </w:rPr>
              <w:t>Transaction history is fed to ORCE from POS in near real time via the POSLog integration.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R.3: </w:t>
            </w:r>
            <w:r>
              <w:rPr>
                <w:rFonts w:ascii="Cambria" w:hAnsi="Cambria" w:eastAsia="Cambria" w:cs="Cambria"/>
                <w:b w:val="0"/>
                <w:color w:val="000000"/>
                <w:sz w:val="22"/>
              </w:rPr>
              <w:t>Purchase profile and return percentage visible at customer level for clienteling and segmentation.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D.3: </w:t>
            </w:r>
            <w:r>
              <w:rPr>
                <w:rFonts w:ascii="Cambria" w:hAnsi="Cambria" w:eastAsia="Cambria" w:cs="Cambria"/>
                <w:b w:val="0"/>
                <w:color w:val="000000"/>
                <w:sz w:val="22"/>
              </w:rPr>
              <w:t>Required history retention period for the purchase profile to be defined.</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OP-03: Required history retention period for the purchase profile to be defined.</w:t>
            </w:r>
          </w:p>
        </w:tc>
      </w:tr>
    </w:tbl>
    <w:p/>
    <w:p>
      <w:pPr>
        <w:pStyle w:val="Heading2"/>
        <w:pBdr>
          <w:bottom w:val="single" w:sz="5" w:space="4" w:color="E2E0DD"/>
        </w:pBdr>
      </w:pPr>
      <w:r>
        <w:rPr>
          <w:rFonts w:ascii="Cambria" w:hAnsi="Cambria" w:eastAsia="Cambria" w:cs="Cambria"/>
          <w:b/>
          <w:color w:val="555559"/>
          <w:sz w:val="27"/>
        </w:rPr>
        <w:t>1.4 Loyalty Visibility</w:t>
      </w:r>
    </w:p>
    <w:p>
      <w:pPr>
        <w:spacing w:after="120"/>
      </w:pPr>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560" w:after="80"/>
        <w:jc w:val="center"/>
      </w:pPr>
      <w:r>
        <w:drawing>
          <wp:inline xmlns:a="http://schemas.openxmlformats.org/drawingml/2006/main" xmlns:pic="http://schemas.openxmlformats.org/drawingml/2006/picture">
            <wp:extent cx="5029200" cy="4526280"/>
            <wp:docPr id="24" name="Picture 24"/>
            <wp:cNvGraphicFramePr>
              <a:graphicFrameLocks noChangeAspect="1"/>
            </wp:cNvGraphicFramePr>
            <a:graphic>
              <a:graphicData uri="http://schemas.openxmlformats.org/drawingml/2006/picture">
                <pic:pic>
                  <pic:nvPicPr>
                    <pic:cNvPr id="0" name="image_04.png"/>
                    <pic:cNvPicPr/>
                  </pic:nvPicPr>
                  <pic:blipFill>
                    <a:blip r:embed="rId36"/>
                    <a:stretch>
                      <a:fillRect/>
                    </a:stretch>
                  </pic:blipFill>
                  <pic:spPr>
                    <a:xfrm>
                      <a:off x="0" y="0"/>
                      <a:ext cx="5029200" cy="4526280"/>
                    </a:xfrm>
                    <a:prstGeom prst="rect"/>
                  </pic:spPr>
                </pic:pic>
              </a:graphicData>
            </a:graphic>
          </wp:inline>
        </w:drawing>
      </w:r>
    </w:p>
    <w:p>
      <w:pPr>
        <w:spacing w:before="0" w:after="240"/>
        <w:jc w:val="center"/>
      </w:pPr>
      <w:r>
        <w:rPr>
          <w:rFonts w:ascii="Cambria" w:hAnsi="Cambria" w:eastAsia="Cambria" w:cs="Cambria"/>
          <w:i/>
          <w:color w:val="555559"/>
          <w:sz w:val="18"/>
        </w:rPr>
        <w:t>Figure 4 — Cards and Programs panel — loyalty cards, level and points balance</w:t>
      </w:r>
    </w:p>
    <w:p>
      <w:pPr>
        <w:spacing w:after="120"/>
      </w:pPr>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D.4: </w:t>
            </w:r>
            <w:r>
              <w:rPr>
                <w:rFonts w:ascii="Cambria" w:hAnsi="Cambria" w:eastAsia="Cambria" w:cs="Cambria"/>
                <w:b w:val="0"/>
                <w:color w:val="000000"/>
                <w:sz w:val="22"/>
              </w:rPr>
              <w:t>USA and Canada operate as separate loyalty programs sharing the same design (levels, rules, awards).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R.4: </w:t>
            </w:r>
            <w:r>
              <w:rPr>
                <w:rFonts w:ascii="Cambria" w:hAnsi="Cambria" w:eastAsia="Cambria" w:cs="Cambria"/>
                <w:b w:val="0"/>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pPr>
        <w:spacing w:after="120"/>
      </w:pPr>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560" w:after="80"/>
        <w:jc w:val="center"/>
      </w:pPr>
      <w:r>
        <w:drawing>
          <wp:inline xmlns:a="http://schemas.openxmlformats.org/drawingml/2006/main" xmlns:pic="http://schemas.openxmlformats.org/drawingml/2006/picture">
            <wp:extent cx="5029200" cy="2105160"/>
            <wp:docPr id="25" name="Picture 25"/>
            <wp:cNvGraphicFramePr>
              <a:graphicFrameLocks noChangeAspect="1"/>
            </wp:cNvGraphicFramePr>
            <a:graphic>
              <a:graphicData uri="http://schemas.openxmlformats.org/drawingml/2006/picture">
                <pic:pic>
                  <pic:nvPicPr>
                    <pic:cNvPr id="0" name="image_05.png"/>
                    <pic:cNvPicPr/>
                  </pic:nvPicPr>
                  <pic:blipFill>
                    <a:blip r:embed="rId37"/>
                    <a:stretch>
                      <a:fillRect/>
                    </a:stretch>
                  </pic:blipFill>
                  <pic:spPr>
                    <a:xfrm>
                      <a:off x="0" y="0"/>
                      <a:ext cx="5029200" cy="2105160"/>
                    </a:xfrm>
                    <a:prstGeom prst="rect"/>
                  </pic:spPr>
                </pic:pic>
              </a:graphicData>
            </a:graphic>
          </wp:inline>
        </w:drawing>
      </w:r>
    </w:p>
    <w:p>
      <w:pPr>
        <w:spacing w:before="0" w:after="240"/>
        <w:jc w:val="center"/>
      </w:pPr>
      <w:r>
        <w:rPr>
          <w:rFonts w:ascii="Cambria" w:hAnsi="Cambria" w:eastAsia="Cambria" w:cs="Cambria"/>
          <w:i/>
          <w:color w:val="555559"/>
          <w:sz w:val="18"/>
        </w:rPr>
        <w:t>Figure 5 — Build Segment Query — segment criteria categories in ORCE</w:t>
      </w:r>
    </w:p>
    <w:p>
      <w:pPr>
        <w:spacing w:after="120"/>
      </w:pPr>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pPr>
        <w:spacing w:after="120"/>
      </w:pPr>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R.5: </w:t>
            </w:r>
            <w:r>
              <w:rPr>
                <w:rFonts w:ascii="Cambria" w:hAnsi="Cambria" w:eastAsia="Cambria" w:cs="Cambria"/>
                <w:b w:val="0"/>
                <w:color w:val="000000"/>
                <w:sz w:val="22"/>
              </w:rPr>
              <w:t>Segmentation by tier, sign-up store, products purchased (Ear Piercing SKU), rewards held, recency of engagement.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D.5: </w:t>
            </w:r>
            <w:r>
              <w:rPr>
                <w:rFonts w:ascii="Cambria" w:hAnsi="Cambria" w:eastAsia="Cambria" w:cs="Cambria"/>
                <w:b w:val="0"/>
                <w:color w:val="000000"/>
                <w:sz w:val="22"/>
              </w:rPr>
              <w:t>Segments are owned and maintained by the marketing team.</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A.4: </w:t>
            </w:r>
            <w:r>
              <w:rPr>
                <w:rFonts w:ascii="Cambria" w:hAnsi="Cambria" w:eastAsia="Cambria" w:cs="Cambria"/>
                <w:b w:val="0"/>
                <w:color w:val="000000"/>
                <w:sz w:val="22"/>
              </w:rPr>
              <w:t>Segment refresh runs on a defined schedule (typically daily) to keep populations current.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R.6: </w:t>
            </w:r>
            <w:r>
              <w:rPr>
                <w:rFonts w:ascii="Cambria" w:hAnsi="Cambria" w:eastAsia="Cambria" w:cs="Cambria"/>
                <w:b w:val="0"/>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pPr>
        <w:spacing w:after="120"/>
      </w:pPr>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560" w:after="80"/>
        <w:jc w:val="center"/>
      </w:pPr>
      <w:r>
        <w:drawing>
          <wp:inline xmlns:a="http://schemas.openxmlformats.org/drawingml/2006/main" xmlns:pic="http://schemas.openxmlformats.org/drawingml/2006/picture">
            <wp:extent cx="5029200" cy="2312640"/>
            <wp:docPr id="26" name="Picture 26"/>
            <wp:cNvGraphicFramePr>
              <a:graphicFrameLocks noChangeAspect="1"/>
            </wp:cNvGraphicFramePr>
            <a:graphic>
              <a:graphicData uri="http://schemas.openxmlformats.org/drawingml/2006/picture">
                <pic:pic>
                  <pic:nvPicPr>
                    <pic:cNvPr id="0" name="image_06.png"/>
                    <pic:cNvPicPr/>
                  </pic:nvPicPr>
                  <pic:blipFill>
                    <a:blip r:embed="rId38"/>
                    <a:stretch>
                      <a:fillRect/>
                    </a:stretch>
                  </pic:blipFill>
                  <pic:spPr>
                    <a:xfrm>
                      <a:off x="0" y="0"/>
                      <a:ext cx="5029200" cy="2312640"/>
                    </a:xfrm>
                    <a:prstGeom prst="rect"/>
                  </pic:spPr>
                </pic:pic>
              </a:graphicData>
            </a:graphic>
          </wp:inline>
        </w:drawing>
      </w:r>
    </w:p>
    <w:p>
      <w:pPr>
        <w:spacing w:before="0" w:after="240"/>
        <w:jc w:val="center"/>
      </w:pPr>
      <w:r>
        <w:rPr>
          <w:rFonts w:ascii="Cambria" w:hAnsi="Cambria" w:eastAsia="Cambria" w:cs="Cambria"/>
          <w:i/>
          <w:color w:val="555559"/>
          <w:sz w:val="18"/>
        </w:rPr>
        <w:t>Figure 6 — Create Segment — the Strata Query step for stratified segments</w:t>
      </w:r>
    </w:p>
    <w:p>
      <w:pPr>
        <w:spacing w:after="120"/>
      </w:pPr>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A.5: </w:t>
            </w:r>
            <w:r>
              <w:rPr>
                <w:rFonts w:ascii="Cambria" w:hAnsi="Cambria" w:eastAsia="Cambria" w:cs="Cambria"/>
                <w:b w:val="0"/>
                <w:color w:val="000000"/>
                <w:sz w:val="22"/>
              </w:rPr>
              <w:t>Stratified segments will be used for VIP tiering and spend-band analysis to support targeted campaigns.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D.6: </w:t>
            </w:r>
            <w:r>
              <w:rPr>
                <w:rFonts w:ascii="Cambria" w:hAnsi="Cambria" w:eastAsia="Cambria" w:cs="Cambria"/>
                <w:b w:val="0"/>
                <w:color w:val="000000"/>
                <w:sz w:val="22"/>
              </w:rPr>
              <w:t>Strata boundaries and refresh frequency to be defined per segment use case.</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OP-04: Strata boundaries and refresh frequency to be defined per use case.</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pPr>
        <w:spacing w:after="120"/>
      </w:pPr>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pPr>
        <w:spacing w:after="120"/>
      </w:pPr>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560" w:after="80"/>
        <w:jc w:val="center"/>
      </w:pPr>
      <w:r>
        <w:drawing>
          <wp:inline xmlns:a="http://schemas.openxmlformats.org/drawingml/2006/main" xmlns:pic="http://schemas.openxmlformats.org/drawingml/2006/picture">
            <wp:extent cx="5029200" cy="2103416"/>
            <wp:docPr id="27" name="Picture 27"/>
            <wp:cNvGraphicFramePr>
              <a:graphicFrameLocks noChangeAspect="1"/>
            </wp:cNvGraphicFramePr>
            <a:graphic>
              <a:graphicData uri="http://schemas.openxmlformats.org/drawingml/2006/picture">
                <pic:pic>
                  <pic:nvPicPr>
                    <pic:cNvPr id="0" name="image_07.png"/>
                    <pic:cNvPicPr/>
                  </pic:nvPicPr>
                  <pic:blipFill>
                    <a:blip r:embed="rId39"/>
                    <a:stretch>
                      <a:fillRect/>
                    </a:stretch>
                  </pic:blipFill>
                  <pic:spPr>
                    <a:xfrm>
                      <a:off x="0" y="0"/>
                      <a:ext cx="5029200" cy="2103416"/>
                    </a:xfrm>
                    <a:prstGeom prst="rect"/>
                  </pic:spPr>
                </pic:pic>
              </a:graphicData>
            </a:graphic>
          </wp:inline>
        </w:drawing>
      </w:r>
    </w:p>
    <w:p>
      <w:pPr>
        <w:spacing w:before="0" w:after="240"/>
        <w:jc w:val="center"/>
      </w:pPr>
      <w:r>
        <w:rPr>
          <w:rFonts w:ascii="Cambria" w:hAnsi="Cambria" w:eastAsia="Cambria" w:cs="Cambria"/>
          <w:i/>
          <w:color w:val="555559"/>
          <w:sz w:val="18"/>
        </w:rPr>
        <w:t>Figure 7 — Promotion Scorecard — a promotion within its campaign</w:t>
      </w:r>
    </w:p>
    <w:p>
      <w:pPr>
        <w:spacing w:after="120"/>
      </w:pPr>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A.6: </w:t>
            </w:r>
            <w:r>
              <w:rPr>
                <w:rFonts w:ascii="Cambria" w:hAnsi="Cambria" w:eastAsia="Cambria" w:cs="Cambria"/>
                <w:b w:val="0"/>
                <w:color w:val="000000"/>
                <w:sz w:val="22"/>
              </w:rPr>
              <w:t>Campaigns and promotions are managed by the marketing team in ORCE.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R.7: </w:t>
            </w:r>
            <w:r>
              <w:rPr>
                <w:rFonts w:ascii="Cambria" w:hAnsi="Cambria" w:eastAsia="Cambria" w:cs="Cambria"/>
                <w:b w:val="0"/>
                <w:color w:val="000000"/>
                <w:sz w:val="22"/>
              </w:rPr>
              <w:t>Promotions structured by campaign, with a controlled approval workflow and clear status lifecycle.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D.7: </w:t>
            </w:r>
            <w:r>
              <w:rPr>
                <w:rFonts w:ascii="Cambria" w:hAnsi="Cambria" w:eastAsia="Cambria" w:cs="Cambria"/>
                <w:b w:val="0"/>
                <w:color w:val="000000"/>
                <w:sz w:val="22"/>
              </w:rPr>
              <w:t>Promotion approval workflow and roles to be defined.</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OP-05: Promotion approval workflow and roles to be defined.</w:t>
            </w:r>
          </w:p>
        </w:tc>
      </w:tr>
    </w:tbl>
    <w:p/>
    <w:p>
      <w:pPr>
        <w:pStyle w:val="Heading2"/>
        <w:pBdr>
          <w:bottom w:val="single" w:sz="5" w:space="4" w:color="E2E0DD"/>
        </w:pBdr>
      </w:pPr>
      <w:r>
        <w:rPr>
          <w:rFonts w:ascii="Cambria" w:hAnsi="Cambria" w:eastAsia="Cambria" w:cs="Cambria"/>
          <w:b/>
          <w:color w:val="555559"/>
          <w:sz w:val="27"/>
        </w:rPr>
        <w:t>2.2 Promotion Types</w:t>
      </w:r>
    </w:p>
    <w:p>
      <w:pPr>
        <w:spacing w:after="120"/>
      </w:pPr>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560" w:after="80"/>
        <w:jc w:val="center"/>
      </w:pPr>
      <w:r>
        <w:drawing>
          <wp:inline xmlns:a="http://schemas.openxmlformats.org/drawingml/2006/main" xmlns:pic="http://schemas.openxmlformats.org/drawingml/2006/picture">
            <wp:extent cx="5029200" cy="1645666"/>
            <wp:docPr id="28" name="Picture 28"/>
            <wp:cNvGraphicFramePr>
              <a:graphicFrameLocks noChangeAspect="1"/>
            </wp:cNvGraphicFramePr>
            <a:graphic>
              <a:graphicData uri="http://schemas.openxmlformats.org/drawingml/2006/picture">
                <pic:pic>
                  <pic:nvPicPr>
                    <pic:cNvPr id="0" name="image_08.png"/>
                    <pic:cNvPicPr/>
                  </pic:nvPicPr>
                  <pic:blipFill>
                    <a:blip r:embed="rId40"/>
                    <a:stretch>
                      <a:fillRect/>
                    </a:stretch>
                  </pic:blipFill>
                  <pic:spPr>
                    <a:xfrm>
                      <a:off x="0" y="0"/>
                      <a:ext cx="5029200" cy="1645666"/>
                    </a:xfrm>
                    <a:prstGeom prst="rect"/>
                  </pic:spPr>
                </pic:pic>
              </a:graphicData>
            </a:graphic>
          </wp:inline>
        </w:drawing>
      </w:r>
    </w:p>
    <w:p>
      <w:pPr>
        <w:spacing w:before="0" w:after="240"/>
        <w:jc w:val="center"/>
      </w:pPr>
      <w:r>
        <w:rPr>
          <w:rFonts w:ascii="Cambria" w:hAnsi="Cambria" w:eastAsia="Cambria" w:cs="Cambria"/>
          <w:i/>
          <w:color w:val="555559"/>
          <w:sz w:val="18"/>
        </w:rPr>
        <w:t>Figure 8 — Offer setup — Settings, Qualifying Items and Award Items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A.7: </w:t>
            </w:r>
            <w:r>
              <w:rPr>
                <w:rFonts w:ascii="Cambria" w:hAnsi="Cambria" w:eastAsia="Cambria" w:cs="Cambria"/>
                <w:b w:val="0"/>
                <w:color w:val="000000"/>
                <w:sz w:val="22"/>
              </w:rPr>
              <w:t>Discounts are applied at POS through ORCE promotions integrated with Xstore.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R.8: </w:t>
            </w:r>
            <w:r>
              <w:rPr>
                <w:rFonts w:ascii="Cambria" w:hAnsi="Cambria" w:eastAsia="Cambria" w:cs="Cambria"/>
                <w:b w:val="0"/>
                <w:color w:val="000000"/>
                <w:sz w:val="22"/>
              </w:rPr>
              <w:t>Support for coupon, product, award and loyalty-driven promotion types.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D.8: </w:t>
            </w:r>
            <w:r>
              <w:rPr>
                <w:rFonts w:ascii="Cambria" w:hAnsi="Cambria" w:eastAsia="Cambria" w:cs="Cambria"/>
                <w:b w:val="0"/>
                <w:color w:val="000000"/>
                <w:sz w:val="22"/>
              </w:rPr>
              <w:t>Promotion types in scope for go-live to be confirmed with marketing.</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OP-06: Promotion types in scope for go-live to be confirmed with marketing.</w:t>
            </w:r>
          </w:p>
        </w:tc>
      </w:tr>
    </w:tbl>
    <w:p/>
    <w:p>
      <w:pPr>
        <w:pStyle w:val="Heading2"/>
        <w:pBdr>
          <w:bottom w:val="single" w:sz="5" w:space="4" w:color="E2E0DD"/>
        </w:pBdr>
      </w:pPr>
      <w:r>
        <w:rPr>
          <w:rFonts w:ascii="Cambria" w:hAnsi="Cambria" w:eastAsia="Cambria" w:cs="Cambria"/>
          <w:b/>
          <w:color w:val="555559"/>
          <w:sz w:val="27"/>
        </w:rPr>
        <w:t>2.3 Offers &amp; Discount Structures</w:t>
      </w:r>
    </w:p>
    <w:p>
      <w:pPr>
        <w:spacing w:after="120"/>
      </w:pPr>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560" w:after="80"/>
        <w:jc w:val="center"/>
      </w:pPr>
      <w:r>
        <w:drawing>
          <wp:inline xmlns:a="http://schemas.openxmlformats.org/drawingml/2006/main" xmlns:pic="http://schemas.openxmlformats.org/drawingml/2006/picture">
            <wp:extent cx="5029200" cy="1582752"/>
            <wp:docPr id="29" name="Picture 29"/>
            <wp:cNvGraphicFramePr>
              <a:graphicFrameLocks noChangeAspect="1"/>
            </wp:cNvGraphicFramePr>
            <a:graphic>
              <a:graphicData uri="http://schemas.openxmlformats.org/drawingml/2006/picture">
                <pic:pic>
                  <pic:nvPicPr>
                    <pic:cNvPr id="0" name="image_09.png"/>
                    <pic:cNvPicPr/>
                  </pic:nvPicPr>
                  <pic:blipFill>
                    <a:blip r:embed="rId41"/>
                    <a:stretch>
                      <a:fillRect/>
                    </a:stretch>
                  </pic:blipFill>
                  <pic:spPr>
                    <a:xfrm>
                      <a:off x="0" y="0"/>
                      <a:ext cx="5029200" cy="1582752"/>
                    </a:xfrm>
                    <a:prstGeom prst="rect"/>
                  </pic:spPr>
                </pic:pic>
              </a:graphicData>
            </a:graphic>
          </wp:inline>
        </w:drawing>
      </w:r>
    </w:p>
    <w:p>
      <w:pPr>
        <w:spacing w:before="0" w:after="240"/>
        <w:jc w:val="center"/>
      </w:pPr>
      <w:r>
        <w:rPr>
          <w:rFonts w:ascii="Cambria" w:hAnsi="Cambria" w:eastAsia="Cambria" w:cs="Cambria"/>
          <w:i/>
          <w:color w:val="555559"/>
          <w:sz w:val="18"/>
        </w:rPr>
        <w:t>Figure 9 — Offer detail — a Fixed Quantity / Price discount structure</w:t>
      </w:r>
    </w:p>
    <w:p>
      <w:pPr>
        <w:spacing w:after="120"/>
      </w:pPr>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A.8: </w:t>
            </w:r>
            <w:r>
              <w:rPr>
                <w:rFonts w:ascii="Cambria" w:hAnsi="Cambria" w:eastAsia="Cambria" w:cs="Cambria"/>
                <w:b w:val="0"/>
                <w:color w:val="000000"/>
                <w:sz w:val="22"/>
              </w:rPr>
              <w:t>Item and merchandise hierarchy is available to define qualifying items and exclusions.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R.9: </w:t>
            </w:r>
            <w:r>
              <w:rPr>
                <w:rFonts w:ascii="Cambria" w:hAnsi="Cambria" w:eastAsia="Cambria" w:cs="Cambria"/>
                <w:b w:val="0"/>
                <w:color w:val="000000"/>
                <w:sz w:val="22"/>
              </w:rPr>
              <w:t>Offer types to cover amount-off, percent-off, override-price and gift-with-purchase scenarios.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D.9: </w:t>
            </w:r>
            <w:r>
              <w:rPr>
                <w:rFonts w:ascii="Cambria" w:hAnsi="Cambria" w:eastAsia="Cambria" w:cs="Cambria"/>
                <w:b w:val="0"/>
                <w:color w:val="000000"/>
                <w:sz w:val="22"/>
              </w:rPr>
              <w:t>Discount structures required for launch campaigns to be confirmed.</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OP-07: Discount structures required for launch campaigns to be confirmed.</w:t>
            </w:r>
          </w:p>
        </w:tc>
      </w:tr>
    </w:tbl>
    <w:p/>
    <w:p>
      <w:pPr>
        <w:pStyle w:val="Heading2"/>
        <w:pBdr>
          <w:bottom w:val="single" w:sz="5" w:space="4" w:color="E2E0DD"/>
        </w:pBdr>
      </w:pPr>
      <w:r>
        <w:rPr>
          <w:rFonts w:ascii="Cambria" w:hAnsi="Cambria" w:eastAsia="Cambria" w:cs="Cambria"/>
          <w:b/>
          <w:color w:val="555559"/>
          <w:sz w:val="27"/>
        </w:rPr>
        <w:t>2.4 Coupons</w:t>
      </w:r>
    </w:p>
    <w:p>
      <w:pPr>
        <w:spacing w:after="120"/>
      </w:pPr>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560" w:after="80"/>
        <w:jc w:val="center"/>
      </w:pPr>
      <w:r>
        <w:drawing>
          <wp:inline xmlns:a="http://schemas.openxmlformats.org/drawingml/2006/main" xmlns:pic="http://schemas.openxmlformats.org/drawingml/2006/picture">
            <wp:extent cx="5029200" cy="1562121"/>
            <wp:docPr id="30" name="Picture 30"/>
            <wp:cNvGraphicFramePr>
              <a:graphicFrameLocks noChangeAspect="1"/>
            </wp:cNvGraphicFramePr>
            <a:graphic>
              <a:graphicData uri="http://schemas.openxmlformats.org/drawingml/2006/picture">
                <pic:pic>
                  <pic:nvPicPr>
                    <pic:cNvPr id="0" name="image_10.png"/>
                    <pic:cNvPicPr/>
                  </pic:nvPicPr>
                  <pic:blipFill>
                    <a:blip r:embed="rId42"/>
                    <a:stretch>
                      <a:fillRect/>
                    </a:stretch>
                  </pic:blipFill>
                  <pic:spPr>
                    <a:xfrm>
                      <a:off x="0" y="0"/>
                      <a:ext cx="5029200" cy="1562121"/>
                    </a:xfrm>
                    <a:prstGeom prst="rect"/>
                  </pic:spPr>
                </pic:pic>
              </a:graphicData>
            </a:graphic>
          </wp:inline>
        </w:drawing>
      </w:r>
    </w:p>
    <w:p>
      <w:pPr>
        <w:spacing w:before="0" w:after="240"/>
        <w:jc w:val="center"/>
      </w:pPr>
      <w:r>
        <w:rPr>
          <w:rFonts w:ascii="Cambria" w:hAnsi="Cambria" w:eastAsia="Cambria" w:cs="Cambria"/>
          <w:i/>
          <w:color w:val="555559"/>
          <w:sz w:val="18"/>
        </w:rPr>
        <w:t>Figure 10 — Coupon offer — an offer with Intended Use set to Coupon</w:t>
      </w:r>
    </w:p>
    <w:p>
      <w:pPr>
        <w:spacing w:after="120"/>
      </w:pPr>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A.9: </w:t>
            </w:r>
            <w:r>
              <w:rPr>
                <w:rFonts w:ascii="Cambria" w:hAnsi="Cambria" w:eastAsia="Cambria" w:cs="Cambria"/>
                <w:b w:val="0"/>
                <w:color w:val="000000"/>
                <w:sz w:val="22"/>
              </w:rPr>
              <w:t>Coupons are issued digitally and redeemed at POS and ecommerce.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R.10: </w:t>
            </w:r>
            <w:r>
              <w:rPr>
                <w:rFonts w:ascii="Cambria" w:hAnsi="Cambria" w:eastAsia="Cambria" w:cs="Cambria"/>
                <w:b w:val="0"/>
                <w:color w:val="000000"/>
                <w:sz w:val="22"/>
              </w:rPr>
              <w:t>Support for both serialized (single-use) and non-serialized coupon codes.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D.10: </w:t>
            </w:r>
            <w:r>
              <w:rPr>
                <w:rFonts w:ascii="Cambria" w:hAnsi="Cambria" w:eastAsia="Cambria" w:cs="Cambria"/>
                <w:b w:val="0"/>
                <w:color w:val="000000"/>
                <w:sz w:val="22"/>
              </w:rPr>
              <w:t>Coupon generation volumes, distribution channels and expiry rules to be defined per campaign.</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OP-08: Coupon volumes, channels and expiry rules to be defined per campaign.</w:t>
            </w:r>
          </w:p>
        </w:tc>
      </w:tr>
    </w:tbl>
    <w:p/>
    <w:p>
      <w:pPr>
        <w:pStyle w:val="Heading2"/>
        <w:pBdr>
          <w:bottom w:val="single" w:sz="5" w:space="4" w:color="E2E0DD"/>
        </w:pBdr>
      </w:pPr>
      <w:r>
        <w:rPr>
          <w:rFonts w:ascii="Cambria" w:hAnsi="Cambria" w:eastAsia="Cambria" w:cs="Cambria"/>
          <w:b/>
          <w:color w:val="555559"/>
          <w:sz w:val="27"/>
        </w:rPr>
        <w:t>2.5 Targeted &amp; Personalized Promotions</w:t>
      </w:r>
    </w:p>
    <w:p>
      <w:pPr>
        <w:spacing w:after="120"/>
      </w:pPr>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560" w:after="80"/>
        <w:jc w:val="center"/>
      </w:pPr>
      <w:r>
        <w:drawing>
          <wp:inline xmlns:a="http://schemas.openxmlformats.org/drawingml/2006/main" xmlns:pic="http://schemas.openxmlformats.org/drawingml/2006/picture">
            <wp:extent cx="5029200" cy="1415845"/>
            <wp:docPr id="31" name="Picture 31"/>
            <wp:cNvGraphicFramePr>
              <a:graphicFrameLocks noChangeAspect="1"/>
            </wp:cNvGraphicFramePr>
            <a:graphic>
              <a:graphicData uri="http://schemas.openxmlformats.org/drawingml/2006/picture">
                <pic:pic>
                  <pic:nvPicPr>
                    <pic:cNvPr id="0" name="image_11.png"/>
                    <pic:cNvPicPr/>
                  </pic:nvPicPr>
                  <pic:blipFill>
                    <a:blip r:embed="rId43"/>
                    <a:stretch>
                      <a:fillRect/>
                    </a:stretch>
                  </pic:blipFill>
                  <pic:spPr>
                    <a:xfrm>
                      <a:off x="0" y="0"/>
                      <a:ext cx="5029200" cy="1415845"/>
                    </a:xfrm>
                    <a:prstGeom prst="rect"/>
                  </pic:spPr>
                </pic:pic>
              </a:graphicData>
            </a:graphic>
          </wp:inline>
        </w:drawing>
      </w:r>
    </w:p>
    <w:p>
      <w:pPr>
        <w:spacing w:before="0" w:after="240"/>
        <w:jc w:val="center"/>
      </w:pPr>
      <w:r>
        <w:rPr>
          <w:rFonts w:ascii="Cambria" w:hAnsi="Cambria" w:eastAsia="Cambria" w:cs="Cambria"/>
          <w:i/>
          <w:color w:val="555559"/>
          <w:sz w:val="18"/>
        </w:rPr>
        <w:t>Figure 11 — Audience Definition — targeting a promotion with segments</w:t>
      </w:r>
    </w:p>
    <w:p>
      <w:pPr>
        <w:spacing w:after="120"/>
      </w:pPr>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A.10: </w:t>
            </w:r>
            <w:r>
              <w:rPr>
                <w:rFonts w:ascii="Cambria" w:hAnsi="Cambria" w:eastAsia="Cambria" w:cs="Cambria"/>
                <w:b w:val="0"/>
                <w:color w:val="000000"/>
                <w:sz w:val="22"/>
              </w:rPr>
              <w:t>Customer segments are maintained continuously and made available for promotion targeting.</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R.11: </w:t>
            </w:r>
            <w:r>
              <w:rPr>
                <w:rFonts w:ascii="Cambria" w:hAnsi="Cambria" w:eastAsia="Cambria" w:cs="Cambria"/>
                <w:b w:val="0"/>
                <w:color w:val="000000"/>
                <w:sz w:val="22"/>
              </w:rPr>
              <w:t>Promotions targeted to segments, with support for exclusive and dynamic audiences.</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D.11: </w:t>
            </w:r>
            <w:r>
              <w:rPr>
                <w:rFonts w:ascii="Cambria" w:hAnsi="Cambria" w:eastAsia="Cambria" w:cs="Cambria"/>
                <w:b w:val="0"/>
                <w:color w:val="000000"/>
                <w:sz w:val="22"/>
              </w:rPr>
              <w:t>Personalization scope and audience refresh frequency to be agreed.</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OP-09: Personalization scope and audience refresh frequency to be agreed.</w:t>
            </w:r>
          </w:p>
        </w:tc>
      </w:tr>
    </w:tbl>
    <w:p/>
    <w:p>
      <w:pPr>
        <w:pStyle w:val="Heading2"/>
        <w:pBdr>
          <w:bottom w:val="single" w:sz="5" w:space="4" w:color="E2E0DD"/>
        </w:pBdr>
      </w:pPr>
      <w:r>
        <w:rPr>
          <w:rFonts w:ascii="Cambria" w:hAnsi="Cambria" w:eastAsia="Cambria" w:cs="Cambria"/>
          <w:b/>
          <w:color w:val="555559"/>
          <w:sz w:val="27"/>
        </w:rPr>
        <w:t>2.6 Promotion &amp; Offer Scorecards</w:t>
      </w:r>
    </w:p>
    <w:p>
      <w:pPr>
        <w:spacing w:after="120"/>
      </w:pPr>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560" w:after="80"/>
        <w:jc w:val="center"/>
      </w:pPr>
      <w:r>
        <w:drawing>
          <wp:inline xmlns:a="http://schemas.openxmlformats.org/drawingml/2006/main" xmlns:pic="http://schemas.openxmlformats.org/drawingml/2006/picture">
            <wp:extent cx="5029200" cy="2235501"/>
            <wp:docPr id="32" name="Picture 32"/>
            <wp:cNvGraphicFramePr>
              <a:graphicFrameLocks noChangeAspect="1"/>
            </wp:cNvGraphicFramePr>
            <a:graphic>
              <a:graphicData uri="http://schemas.openxmlformats.org/drawingml/2006/picture">
                <pic:pic>
                  <pic:nvPicPr>
                    <pic:cNvPr id="0" name="image_12.png"/>
                    <pic:cNvPicPr/>
                  </pic:nvPicPr>
                  <pic:blipFill>
                    <a:blip r:embed="rId44"/>
                    <a:stretch>
                      <a:fillRect/>
                    </a:stretch>
                  </pic:blipFill>
                  <pic:spPr>
                    <a:xfrm>
                      <a:off x="0" y="0"/>
                      <a:ext cx="5029200" cy="2235501"/>
                    </a:xfrm>
                    <a:prstGeom prst="rect"/>
                  </pic:spPr>
                </pic:pic>
              </a:graphicData>
            </a:graphic>
          </wp:inline>
        </w:drawing>
      </w:r>
    </w:p>
    <w:p>
      <w:pPr>
        <w:spacing w:before="0" w:after="240"/>
        <w:jc w:val="center"/>
      </w:pPr>
      <w:r>
        <w:rPr>
          <w:rFonts w:ascii="Cambria" w:hAnsi="Cambria" w:eastAsia="Cambria" w:cs="Cambria"/>
          <w:i/>
          <w:color w:val="555559"/>
          <w:sz w:val="18"/>
        </w:rPr>
        <w:t>Figure 12 — Offer Scorecard — offer performance across promotions</w:t>
      </w:r>
    </w:p>
    <w:p>
      <w:pPr>
        <w:spacing w:after="120"/>
      </w:pPr>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A.11: </w:t>
            </w:r>
            <w:r>
              <w:rPr>
                <w:rFonts w:ascii="Cambria" w:hAnsi="Cambria" w:eastAsia="Cambria" w:cs="Cambria"/>
                <w:b w:val="0"/>
                <w:color w:val="000000"/>
                <w:sz w:val="22"/>
              </w:rPr>
              <w:t>Scorecard summary jobs run on a defined schedule to keep performance data current.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R.12: </w:t>
            </w:r>
            <w:r>
              <w:rPr>
                <w:rFonts w:ascii="Cambria" w:hAnsi="Cambria" w:eastAsia="Cambria" w:cs="Cambria"/>
                <w:b w:val="0"/>
                <w:color w:val="000000"/>
                <w:sz w:val="22"/>
              </w:rPr>
              <w:t>Promotion and offer performance visible to marketing for analysis and decision support.</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D.12: </w:t>
            </w:r>
            <w:r>
              <w:rPr>
                <w:rFonts w:ascii="Cambria" w:hAnsi="Cambria" w:eastAsia="Cambria" w:cs="Cambria"/>
                <w:b w:val="0"/>
                <w:color w:val="000000"/>
                <w:sz w:val="22"/>
              </w:rPr>
              <w:t>Reporting KPIs, cadence and ownership to be defined with the marketing team.</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OP-10: Reporting KPIs, cadence and ownership to be defined.</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pPr>
        <w:spacing w:after="120"/>
      </w:pPr>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pPr>
        <w:spacing w:after="120"/>
      </w:pPr>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560" w:after="80"/>
        <w:jc w:val="center"/>
      </w:pPr>
      <w:r>
        <w:drawing>
          <wp:inline xmlns:a="http://schemas.openxmlformats.org/drawingml/2006/main" xmlns:pic="http://schemas.openxmlformats.org/drawingml/2006/picture">
            <wp:extent cx="5029200" cy="2221184"/>
            <wp:docPr id="33" name="Picture 33"/>
            <wp:cNvGraphicFramePr>
              <a:graphicFrameLocks noChangeAspect="1"/>
            </wp:cNvGraphicFramePr>
            <a:graphic>
              <a:graphicData uri="http://schemas.openxmlformats.org/drawingml/2006/picture">
                <pic:pic>
                  <pic:nvPicPr>
                    <pic:cNvPr id="0" name="image_13.png"/>
                    <pic:cNvPicPr/>
                  </pic:nvPicPr>
                  <pic:blipFill>
                    <a:blip r:embed="rId45"/>
                    <a:stretch>
                      <a:fillRect/>
                    </a:stretch>
                  </pic:blipFill>
                  <pic:spPr>
                    <a:xfrm>
                      <a:off x="0" y="0"/>
                      <a:ext cx="5029200" cy="2221184"/>
                    </a:xfrm>
                    <a:prstGeom prst="rect"/>
                  </pic:spPr>
                </pic:pic>
              </a:graphicData>
            </a:graphic>
          </wp:inline>
        </w:drawing>
      </w:r>
    </w:p>
    <w:p>
      <w:pPr>
        <w:spacing w:before="0" w:after="240"/>
        <w:jc w:val="center"/>
      </w:pPr>
      <w:r>
        <w:rPr>
          <w:rFonts w:ascii="Cambria" w:hAnsi="Cambria" w:eastAsia="Cambria" w:cs="Cambria"/>
          <w:i/>
          <w:color w:val="555559"/>
          <w:sz w:val="18"/>
        </w:rPr>
        <w:t>Figure 13 — Loyalty Program &amp; Levels — program and tier setup</w:t>
      </w:r>
    </w:p>
    <w:p>
      <w:pPr>
        <w:spacing w:after="120"/>
      </w:pPr>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D.13: </w:t>
            </w:r>
            <w:r>
              <w:rPr>
                <w:rFonts w:ascii="Cambria" w:hAnsi="Cambria" w:eastAsia="Cambria" w:cs="Cambria"/>
                <w:b w:val="0"/>
                <w:color w:val="000000"/>
                <w:sz w:val="22"/>
              </w:rPr>
              <w:t>Only two tiers will be used: Friend (Level 1) and Bestie (Level 2).</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A.12: </w:t>
            </w:r>
            <w:r>
              <w:rPr>
                <w:rFonts w:ascii="Cambria" w:hAnsi="Cambria" w:eastAsia="Cambria" w:cs="Cambria"/>
                <w:b w:val="0"/>
                <w:color w:val="000000"/>
                <w:sz w:val="22"/>
              </w:rPr>
              <w:t>Each country has its own loyalty programme (USA, Canada). Quebec is currently out of scope.</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OP-15: Confirm Quebec scope (currently out of scope).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R.13: </w:t>
            </w:r>
            <w:r>
              <w:rPr>
                <w:rFonts w:ascii="Cambria" w:hAnsi="Cambria" w:eastAsia="Cambria" w:cs="Cambria"/>
                <w:b w:val="0"/>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pPr>
        <w:spacing w:after="120"/>
      </w:pPr>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560" w:after="80"/>
        <w:jc w:val="center"/>
      </w:pPr>
      <w:r>
        <w:drawing>
          <wp:inline xmlns:a="http://schemas.openxmlformats.org/drawingml/2006/main" xmlns:pic="http://schemas.openxmlformats.org/drawingml/2006/picture">
            <wp:extent cx="5029200" cy="2692625"/>
            <wp:docPr id="34" name="Picture 34"/>
            <wp:cNvGraphicFramePr>
              <a:graphicFrameLocks noChangeAspect="1"/>
            </wp:cNvGraphicFramePr>
            <a:graphic>
              <a:graphicData uri="http://schemas.openxmlformats.org/drawingml/2006/picture">
                <pic:pic>
                  <pic:nvPicPr>
                    <pic:cNvPr id="0" name="image_14.png"/>
                    <pic:cNvPicPr/>
                  </pic:nvPicPr>
                  <pic:blipFill>
                    <a:blip r:embed="rId46"/>
                    <a:stretch>
                      <a:fillRect/>
                    </a:stretch>
                  </pic:blipFill>
                  <pic:spPr>
                    <a:xfrm>
                      <a:off x="0" y="0"/>
                      <a:ext cx="5029200" cy="2692625"/>
                    </a:xfrm>
                    <a:prstGeom prst="rect"/>
                  </pic:spPr>
                </pic:pic>
              </a:graphicData>
            </a:graphic>
          </wp:inline>
        </w:drawing>
      </w:r>
    </w:p>
    <w:p>
      <w:pPr>
        <w:spacing w:before="0" w:after="240"/>
        <w:jc w:val="center"/>
      </w:pPr>
      <w:r>
        <w:rPr>
          <w:rFonts w:ascii="Cambria" w:hAnsi="Cambria" w:eastAsia="Cambria" w:cs="Cambria"/>
          <w:i/>
          <w:color w:val="555559"/>
          <w:sz w:val="18"/>
        </w:rPr>
        <w:t>Figure 14 — Issue Rule — points per qualifying transaction</w:t>
      </w:r>
    </w:p>
    <w:p>
      <w:pPr>
        <w:spacing w:after="120"/>
      </w:pPr>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D.14: </w:t>
            </w:r>
            <w:r>
              <w:rPr>
                <w:rFonts w:ascii="Cambria" w:hAnsi="Cambria" w:eastAsia="Cambria" w:cs="Cambria"/>
                <w:b w:val="0"/>
                <w:color w:val="000000"/>
                <w:sz w:val="22"/>
              </w:rPr>
              <w:t>Loyalty programme uses points-per-purchase logic (flat 50 points per qualifying transaction) rather than spend-based earning.</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A.13: </w:t>
            </w:r>
            <w:r>
              <w:rPr>
                <w:rFonts w:ascii="Cambria" w:hAnsi="Cambria" w:eastAsia="Cambria" w:cs="Cambria"/>
                <w:b w:val="0"/>
                <w:color w:val="000000"/>
                <w:sz w:val="22"/>
              </w:rPr>
              <w:t>Both levels earn 50 points per qualifying purchase; Bestie earns an additional 25 points bonus per qualifying transaction.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R.14: </w:t>
            </w:r>
            <w:r>
              <w:rPr>
                <w:rFonts w:ascii="Cambria" w:hAnsi="Cambria" w:eastAsia="Cambria" w:cs="Cambria"/>
                <w:b w:val="0"/>
                <w:color w:val="000000"/>
                <w:sz w:val="22"/>
              </w:rPr>
              <w:t>$100 purchase bonus (+50 points, US/CA) and piercing SKU bonus (+100 points) must be configured.</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D.15: </w:t>
            </w:r>
            <w:r>
              <w:rPr>
                <w:rFonts w:ascii="Cambria" w:hAnsi="Cambria" w:eastAsia="Cambria" w:cs="Cambria"/>
                <w:b w:val="0"/>
                <w:color w:val="000000"/>
                <w:sz w:val="22"/>
              </w:rPr>
              <w:t>Gift card tender exclusion from points eligibility requires integration logic — not native to the ORCE points engine.</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OP-11: Gift card tender exclusion logic — integration design required.</w:t>
            </w:r>
          </w:p>
        </w:tc>
      </w:tr>
    </w:tbl>
    <w:p/>
    <w:p>
      <w:pPr>
        <w:pStyle w:val="Heading2"/>
        <w:pBdr>
          <w:bottom w:val="single" w:sz="5" w:space="4" w:color="E2E0DD"/>
        </w:pBdr>
      </w:pPr>
      <w:r>
        <w:rPr>
          <w:rFonts w:ascii="Cambria" w:hAnsi="Cambria" w:eastAsia="Cambria" w:cs="Cambria"/>
          <w:b/>
          <w:color w:val="555559"/>
          <w:sz w:val="27"/>
        </w:rPr>
        <w:t>3.3 Marketing Engagement Points</w:t>
      </w:r>
    </w:p>
    <w:p>
      <w:pPr>
        <w:spacing w:after="120"/>
      </w:pPr>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560" w:after="80"/>
        <w:jc w:val="center"/>
      </w:pPr>
      <w:r>
        <w:drawing>
          <wp:inline xmlns:a="http://schemas.openxmlformats.org/drawingml/2006/main" xmlns:pic="http://schemas.openxmlformats.org/drawingml/2006/picture">
            <wp:extent cx="5029200" cy="2330696"/>
            <wp:docPr id="35" name="Picture 35"/>
            <wp:cNvGraphicFramePr>
              <a:graphicFrameLocks noChangeAspect="1"/>
            </wp:cNvGraphicFramePr>
            <a:graphic>
              <a:graphicData uri="http://schemas.openxmlformats.org/drawingml/2006/picture">
                <pic:pic>
                  <pic:nvPicPr>
                    <pic:cNvPr id="0" name="image_15.png"/>
                    <pic:cNvPicPr/>
                  </pic:nvPicPr>
                  <pic:blipFill>
                    <a:blip r:embed="rId47"/>
                    <a:stretch>
                      <a:fillRect/>
                    </a:stretch>
                  </pic:blipFill>
                  <pic:spPr>
                    <a:xfrm>
                      <a:off x="0" y="0"/>
                      <a:ext cx="5029200" cy="2330696"/>
                    </a:xfrm>
                    <a:prstGeom prst="rect"/>
                  </pic:spPr>
                </pic:pic>
              </a:graphicData>
            </a:graphic>
          </wp:inline>
        </w:drawing>
      </w:r>
    </w:p>
    <w:p>
      <w:pPr>
        <w:spacing w:before="0" w:after="240"/>
        <w:jc w:val="center"/>
      </w:pPr>
      <w:r>
        <w:rPr>
          <w:rFonts w:ascii="Cambria" w:hAnsi="Cambria" w:eastAsia="Cambria" w:cs="Cambria"/>
          <w:i/>
          <w:color w:val="555559"/>
          <w:sz w:val="18"/>
        </w:rPr>
        <w:t>Figure 15 — Points for Purchase promotion — base for non-purchase engagement variants</w:t>
      </w:r>
    </w:p>
    <w:p>
      <w:pPr>
        <w:spacing w:after="120"/>
      </w:pPr>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A.14: </w:t>
            </w:r>
            <w:r>
              <w:rPr>
                <w:rFonts w:ascii="Cambria" w:hAnsi="Cambria" w:eastAsia="Cambria" w:cs="Cambria"/>
                <w:b w:val="0"/>
                <w:color w:val="000000"/>
                <w:sz w:val="22"/>
              </w:rPr>
              <w:t>Engagement points are triggered by claires.com / app via the Events API; each engagement is one-time per member.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R.15: </w:t>
            </w:r>
            <w:r>
              <w:rPr>
                <w:rFonts w:ascii="Cambria" w:hAnsi="Cambria" w:eastAsia="Cambria" w:cs="Cambria"/>
                <w:b w:val="0"/>
                <w:color w:val="000000"/>
                <w:sz w:val="22"/>
              </w:rPr>
              <w:t>Marketing engagement points: 15 points for birthday / who-are-you-shopping-for / address; 10 points for TikTok / Facebook / Instagram.</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D.16: </w:t>
            </w:r>
            <w:r>
              <w:rPr>
                <w:rFonts w:ascii="Cambria" w:hAnsi="Cambria" w:eastAsia="Cambria" w:cs="Cambria"/>
                <w:b w:val="0"/>
                <w:color w:val="000000"/>
                <w:sz w:val="22"/>
              </w:rPr>
              <w:t>Engagement event payload contract and trigger flows to be confirmed with the integration team.</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OP-12: Engagement event payload contract and trigger flows to be confirmed.</w:t>
            </w:r>
          </w:p>
        </w:tc>
      </w:tr>
    </w:tbl>
    <w:p/>
    <w:p>
      <w:pPr>
        <w:pStyle w:val="Heading2"/>
        <w:pBdr>
          <w:bottom w:val="single" w:sz="5" w:space="4" w:color="E2E0DD"/>
        </w:pBdr>
      </w:pPr>
      <w:r>
        <w:rPr>
          <w:rFonts w:ascii="Cambria" w:hAnsi="Cambria" w:eastAsia="Cambria" w:cs="Cambria"/>
          <w:b/>
          <w:color w:val="555559"/>
          <w:sz w:val="27"/>
        </w:rPr>
        <w:t>3.4 Movement Rules — Tier Progression</w:t>
      </w:r>
    </w:p>
    <w:p>
      <w:pPr>
        <w:spacing w:after="120"/>
      </w:pPr>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560" w:after="80"/>
        <w:jc w:val="center"/>
      </w:pPr>
      <w:r>
        <w:drawing>
          <wp:inline xmlns:a="http://schemas.openxmlformats.org/drawingml/2006/main" xmlns:pic="http://schemas.openxmlformats.org/drawingml/2006/picture">
            <wp:extent cx="5029200" cy="774005"/>
            <wp:docPr id="36" name="Picture 36"/>
            <wp:cNvGraphicFramePr>
              <a:graphicFrameLocks noChangeAspect="1"/>
            </wp:cNvGraphicFramePr>
            <a:graphic>
              <a:graphicData uri="http://schemas.openxmlformats.org/drawingml/2006/picture">
                <pic:pic>
                  <pic:nvPicPr>
                    <pic:cNvPr id="0" name="image_16.png"/>
                    <pic:cNvPicPr/>
                  </pic:nvPicPr>
                  <pic:blipFill>
                    <a:blip r:embed="rId48"/>
                    <a:stretch>
                      <a:fillRect/>
                    </a:stretch>
                  </pic:blipFill>
                  <pic:spPr>
                    <a:xfrm>
                      <a:off x="0" y="0"/>
                      <a:ext cx="5029200" cy="774005"/>
                    </a:xfrm>
                    <a:prstGeom prst="rect"/>
                  </pic:spPr>
                </pic:pic>
              </a:graphicData>
            </a:graphic>
          </wp:inline>
        </w:drawing>
      </w:r>
    </w:p>
    <w:p>
      <w:pPr>
        <w:spacing w:before="0" w:after="240"/>
        <w:jc w:val="center"/>
      </w:pPr>
      <w:r>
        <w:rPr>
          <w:rFonts w:ascii="Cambria" w:hAnsi="Cambria" w:eastAsia="Cambria" w:cs="Cambria"/>
          <w:i/>
          <w:color w:val="555559"/>
          <w:sz w:val="18"/>
        </w:rPr>
        <w:t>Figure 16 — Loyalty Levels — Friend and Bestie tier configuration</w:t>
      </w:r>
    </w:p>
    <w:p>
      <w:pPr>
        <w:spacing w:after="120"/>
      </w:pPr>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D.17: </w:t>
            </w:r>
            <w:r>
              <w:rPr>
                <w:rFonts w:ascii="Cambria" w:hAnsi="Cambria" w:eastAsia="Cambria" w:cs="Cambria"/>
                <w:b w:val="0"/>
                <w:color w:val="000000"/>
                <w:sz w:val="22"/>
              </w:rPr>
              <w:t>Bestie qualified by $100 net annual spend (calendar year). Spend-based qualification computed by Inte Q and pushed to ORCE.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A.15: </w:t>
            </w:r>
            <w:r>
              <w:rPr>
                <w:rFonts w:ascii="Cambria" w:hAnsi="Cambria" w:eastAsia="Cambria" w:cs="Cambria"/>
                <w:b w:val="0"/>
                <w:color w:val="000000"/>
                <w:sz w:val="22"/>
              </w:rPr>
              <w:t>Inte Q calculates annual net spend daily and triggers the Change Level via the ActivityImport web service.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R.16: </w:t>
            </w:r>
            <w:r>
              <w:rPr>
                <w:rFonts w:ascii="Cambria" w:hAnsi="Cambria" w:eastAsia="Cambria" w:cs="Cambria"/>
                <w:b w:val="0"/>
                <w:color w:val="000000"/>
                <w:sz w:val="22"/>
              </w:rPr>
              <w:t>Bestie status retained for the rest of Year 1 and full Year 2; requalification during Year 2 grants Bestie in Year 3.</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D.18: </w:t>
            </w:r>
            <w:r>
              <w:rPr>
                <w:rFonts w:ascii="Cambria" w:hAnsi="Cambria" w:eastAsia="Cambria" w:cs="Cambria"/>
                <w:b w:val="0"/>
                <w:color w:val="000000"/>
                <w:sz w:val="22"/>
              </w:rPr>
              <w:t>Net-spend exclusions (discounts, shipping, taxes other than VAT, gift card redemptions) to be confirmed.</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OP-13: Net-spend exclusions (discounts, shipping, taxes, gift cards) to be confirmed.</w:t>
            </w:r>
          </w:p>
        </w:tc>
      </w:tr>
    </w:tbl>
    <w:p/>
    <w:p>
      <w:pPr>
        <w:pStyle w:val="Heading2"/>
        <w:pBdr>
          <w:bottom w:val="single" w:sz="5" w:space="4" w:color="E2E0DD"/>
        </w:pBdr>
      </w:pPr>
      <w:r>
        <w:rPr>
          <w:rFonts w:ascii="Cambria" w:hAnsi="Cambria" w:eastAsia="Cambria" w:cs="Cambria"/>
          <w:b/>
          <w:color w:val="555559"/>
          <w:sz w:val="27"/>
        </w:rPr>
        <w:t>3.5 Awards &amp; Rewards</w:t>
      </w:r>
    </w:p>
    <w:p>
      <w:pPr>
        <w:spacing w:after="120"/>
      </w:pPr>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560" w:after="80"/>
        <w:jc w:val="center"/>
      </w:pPr>
      <w:r>
        <w:drawing>
          <wp:inline xmlns:a="http://schemas.openxmlformats.org/drawingml/2006/main" xmlns:pic="http://schemas.openxmlformats.org/drawingml/2006/picture">
            <wp:extent cx="5029200" cy="1008023"/>
            <wp:docPr id="37" name="Picture 37"/>
            <wp:cNvGraphicFramePr>
              <a:graphicFrameLocks noChangeAspect="1"/>
            </wp:cNvGraphicFramePr>
            <a:graphic>
              <a:graphicData uri="http://schemas.openxmlformats.org/drawingml/2006/picture">
                <pic:pic>
                  <pic:nvPicPr>
                    <pic:cNvPr id="0" name="image_17.png"/>
                    <pic:cNvPicPr/>
                  </pic:nvPicPr>
                  <pic:blipFill>
                    <a:blip r:embed="rId49"/>
                    <a:stretch>
                      <a:fillRect/>
                    </a:stretch>
                  </pic:blipFill>
                  <pic:spPr>
                    <a:xfrm>
                      <a:off x="0" y="0"/>
                      <a:ext cx="5029200" cy="1008023"/>
                    </a:xfrm>
                    <a:prstGeom prst="rect"/>
                  </pic:spPr>
                </pic:pic>
              </a:graphicData>
            </a:graphic>
          </wp:inline>
        </w:drawing>
      </w:r>
    </w:p>
    <w:p>
      <w:pPr>
        <w:spacing w:before="0" w:after="240"/>
        <w:jc w:val="center"/>
      </w:pPr>
      <w:r>
        <w:rPr>
          <w:rFonts w:ascii="Cambria" w:hAnsi="Cambria" w:eastAsia="Cambria" w:cs="Cambria"/>
          <w:i/>
          <w:color w:val="555559"/>
          <w:sz w:val="18"/>
        </w:rPr>
        <w:t>Figure 17 — Award Rule — $5 E-Award at every 100 points</w:t>
      </w:r>
    </w:p>
    <w:p>
      <w:pPr>
        <w:spacing w:after="120"/>
      </w:pPr>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D.19: </w:t>
            </w:r>
            <w:r>
              <w:rPr>
                <w:rFonts w:ascii="Cambria" w:hAnsi="Cambria" w:eastAsia="Cambria" w:cs="Cambria"/>
                <w:b w:val="0"/>
                <w:color w:val="000000"/>
                <w:sz w:val="22"/>
              </w:rPr>
              <w:t>$5 award issued at every 100 points; Anytime Reward $5 (Friend: 1/year; Bestie: 2/year).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A.16: </w:t>
            </w:r>
            <w:r>
              <w:rPr>
                <w:rFonts w:ascii="Cambria" w:hAnsi="Cambria" w:eastAsia="Cambria" w:cs="Cambria"/>
                <w:b w:val="0"/>
                <w:color w:val="000000"/>
                <w:sz w:val="22"/>
              </w:rPr>
              <w:t>Birthday discount communications are issued by the ESP (SFMC); ORCE supplies the eligibility trigger via the Birthday Time Rule and the coupon for redemption.</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R.17: </w:t>
            </w:r>
            <w:r>
              <w:rPr>
                <w:rFonts w:ascii="Cambria" w:hAnsi="Cambria" w:eastAsia="Cambria" w:cs="Cambria"/>
                <w:b w:val="0"/>
                <w:color w:val="000000"/>
                <w:sz w:val="22"/>
              </w:rPr>
              <w:t>Free Gift coupon issued automatically on Bestie tier-up; Free Earrings for a Year benefit available to Bestie tier.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A.17: </w:t>
            </w:r>
            <w:r>
              <w:rPr>
                <w:rFonts w:ascii="Cambria" w:hAnsi="Cambria" w:eastAsia="Cambria" w:cs="Cambria"/>
                <w:b w:val="0"/>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pPr>
        <w:spacing w:after="120"/>
      </w:pPr>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560" w:after="80"/>
        <w:jc w:val="center"/>
      </w:pPr>
      <w:r>
        <w:drawing>
          <wp:inline xmlns:a="http://schemas.openxmlformats.org/drawingml/2006/main" xmlns:pic="http://schemas.openxmlformats.org/drawingml/2006/picture">
            <wp:extent cx="5029200" cy="1157801"/>
            <wp:docPr id="38" name="Picture 38"/>
            <wp:cNvGraphicFramePr>
              <a:graphicFrameLocks noChangeAspect="1"/>
            </wp:cNvGraphicFramePr>
            <a:graphic>
              <a:graphicData uri="http://schemas.openxmlformats.org/drawingml/2006/picture">
                <pic:pic>
                  <pic:nvPicPr>
                    <pic:cNvPr id="0" name="image_18.png"/>
                    <pic:cNvPicPr/>
                  </pic:nvPicPr>
                  <pic:blipFill>
                    <a:blip r:embed="rId50"/>
                    <a:stretch>
                      <a:fillRect/>
                    </a:stretch>
                  </pic:blipFill>
                  <pic:spPr>
                    <a:xfrm>
                      <a:off x="0" y="0"/>
                      <a:ext cx="5029200" cy="1157801"/>
                    </a:xfrm>
                    <a:prstGeom prst="rect"/>
                  </pic:spPr>
                </pic:pic>
              </a:graphicData>
            </a:graphic>
          </wp:inline>
        </w:drawing>
      </w:r>
    </w:p>
    <w:p>
      <w:pPr>
        <w:spacing w:before="0" w:after="240"/>
        <w:jc w:val="center"/>
      </w:pPr>
      <w:r>
        <w:rPr>
          <w:rFonts w:ascii="Cambria" w:hAnsi="Cambria" w:eastAsia="Cambria" w:cs="Cambria"/>
          <w:i/>
          <w:color w:val="555559"/>
          <w:sz w:val="18"/>
        </w:rPr>
        <w:t>Figure 18 — Award Promotion review — issue from an Award Program</w:t>
      </w:r>
    </w:p>
    <w:p>
      <w:pPr>
        <w:spacing w:after="120"/>
      </w:pPr>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D.20: </w:t>
            </w:r>
            <w:r>
              <w:rPr>
                <w:rFonts w:ascii="Cambria" w:hAnsi="Cambria" w:eastAsia="Cambria" w:cs="Cambria"/>
                <w:b w:val="0"/>
                <w:color w:val="000000"/>
                <w:sz w:val="22"/>
              </w:rPr>
              <w:t>Verified Return Actions configured to deduct points from the returning customer.</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A7DC85"/>
            <w:tcMar>
              <w:top w:w="115" w:type="dxa"/>
              <w:bottom w:w="115" w:type="dxa"/>
              <w:left w:w="120" w:type="dxa"/>
              <w:right w:w="120" w:type="dxa"/>
              <w:start w:w="130" w:type="dxa"/>
              <w:end w:w="130" w:type="dxa"/>
            </w:tcMar>
            <w:vAlign w:val="center"/>
            <w:tcBorders>
              <w:top w:val="single" w:sz="10" w:space="0" w:color="A7DC85"/>
              <w:left w:val="single" w:sz="10" w:space="0" w:color="A7DC85"/>
              <w:bottom w:val="single" w:sz="10" w:space="0" w:color="A7DC85"/>
              <w:right w:val="single" w:sz="10" w:space="0" w:color="A7DC85"/>
            </w:tcBorders>
          </w:tcPr>
          <w:p>
            <w:pPr>
              <w:spacing w:after="0" w:before="0"/>
            </w:pPr>
            <w:r>
              <w:rPr>
                <w:rFonts w:ascii="Cambria" w:hAnsi="Cambria" w:eastAsia="Cambria" w:cs="Cambria"/>
                <w:b w:val="0"/>
                <w:color w:val="000000"/>
                <w:sz w:val="22"/>
              </w:rPr>
              <w:t xml:space="preserve">A.18: </w:t>
            </w:r>
            <w:r>
              <w:rPr>
                <w:rFonts w:ascii="Cambria" w:hAnsi="Cambria" w:eastAsia="Cambria" w:cs="Cambria"/>
                <w:b w:val="0"/>
                <w:color w:val="000000"/>
                <w:sz w:val="22"/>
              </w:rPr>
              <w:t>Inte Q deducts the 50 base points (and 25 bonus points for Bestie) only when a return brings the original transaction net to zero.</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91C3DF"/>
            <w:tcMar>
              <w:top w:w="115" w:type="dxa"/>
              <w:bottom w:w="115" w:type="dxa"/>
              <w:left w:w="120" w:type="dxa"/>
              <w:right w:w="120" w:type="dxa"/>
              <w:start w:w="130" w:type="dxa"/>
              <w:end w:w="130" w:type="dxa"/>
            </w:tcMar>
            <w:vAlign w:val="center"/>
            <w:tcBorders>
              <w:top w:val="single" w:sz="10" w:space="0" w:color="91C3DF"/>
              <w:left w:val="single" w:sz="10" w:space="0" w:color="91C3DF"/>
              <w:bottom w:val="single" w:sz="10" w:space="0" w:color="91C3DF"/>
              <w:right w:val="single" w:sz="10" w:space="0" w:color="91C3DF"/>
            </w:tcBorders>
          </w:tcPr>
          <w:p>
            <w:pPr>
              <w:spacing w:after="0" w:before="0"/>
            </w:pPr>
            <w:r>
              <w:rPr>
                <w:rFonts w:ascii="Cambria" w:hAnsi="Cambria" w:eastAsia="Cambria" w:cs="Cambria"/>
                <w:b w:val="0"/>
                <w:color w:val="000000"/>
                <w:sz w:val="22"/>
              </w:rPr>
              <w:t xml:space="preserve">R.18: </w:t>
            </w:r>
            <w:r>
              <w:rPr>
                <w:rFonts w:ascii="Cambria" w:hAnsi="Cambria" w:eastAsia="Cambria" w:cs="Cambria"/>
                <w:b w:val="0"/>
                <w:color w:val="000000"/>
                <w:sz w:val="22"/>
              </w:rPr>
              <w:t>Standard ORCE per-item reversal must be customised (or handled in Inte Q) to match Claire's full-return rule.</w:t>
            </w:r>
          </w:p>
        </w:tc>
      </w:tr>
    </w:tbl>
    <w:p/>
    <w:tbl>
      <w:tblPr>
        <w:tblW w:type="dxa" w:w="9028"/>
        <w:jc w:val="center"/>
        <w:tblLayout w:type="fixed"/>
        <w:tblLook w:firstColumn="1" w:firstRow="1" w:lastColumn="0" w:lastRow="0" w:noHBand="0" w:noVBand="1" w:val="04A0"/>
      </w:tblPr>
      <w:tblGrid>
        <w:gridCol w:w="9029"/>
      </w:tblGrid>
      <w:tr>
        <w:tc>
          <w:tcPr>
            <w:tcW w:type="dxa" w:w="9029"/>
            <w:shd w:val="clear" w:color="auto" w:fill="FFC499"/>
            <w:tcMar>
              <w:top w:w="115" w:type="dxa"/>
              <w:bottom w:w="115" w:type="dxa"/>
              <w:left w:w="120" w:type="dxa"/>
              <w:right w:w="120" w:type="dxa"/>
              <w:start w:w="130" w:type="dxa"/>
              <w:end w:w="130" w:type="dxa"/>
            </w:tcMar>
            <w:vAlign w:val="center"/>
            <w:tcBorders>
              <w:top w:val="single" w:sz="10" w:space="0" w:color="FFC499"/>
              <w:left w:val="single" w:sz="10" w:space="0" w:color="FFC499"/>
              <w:bottom w:val="single" w:sz="10" w:space="0" w:color="FFC499"/>
              <w:right w:val="single" w:sz="10" w:space="0" w:color="FFC499"/>
            </w:tcBorders>
          </w:tcPr>
          <w:p>
            <w:pPr>
              <w:spacing w:after="0" w:before="0"/>
            </w:pPr>
            <w:r>
              <w:rPr>
                <w:rFonts w:ascii="Cambria" w:hAnsi="Cambria" w:eastAsia="Cambria" w:cs="Cambria"/>
                <w:b w:val="0"/>
                <w:color w:val="000000"/>
                <w:sz w:val="22"/>
              </w:rPr>
              <w:t xml:space="preserve">D.21: </w:t>
            </w:r>
            <w:r>
              <w:rPr>
                <w:rFonts w:ascii="Cambria" w:hAnsi="Cambria" w:eastAsia="Cambria" w:cs="Cambria"/>
                <w:b w:val="0"/>
                <w:color w:val="000000"/>
                <w:sz w:val="22"/>
              </w:rPr>
              <w:t>Behaviour for partial returns and returns crossing year-end requalification to be defined.</w:t>
            </w:r>
          </w:p>
        </w:tc>
      </w:tr>
    </w:tbl>
    <w:tbl>
      <w:tblPr>
        <w:tblW w:type="dxa" w:w="9028"/>
        <w:jc w:val="center"/>
        <w:tblLayout w:type="fixed"/>
        <w:tblLook w:firstColumn="1" w:firstRow="1" w:lastColumn="0" w:lastRow="0" w:noHBand="0" w:noVBand="1" w:val="04A0"/>
      </w:tblPr>
      <w:tblGrid>
        <w:gridCol w:w="9029"/>
      </w:tblGrid>
      <w:tr>
        <w:tc>
          <w:tcPr>
            <w:tcW w:type="dxa" w:w="9029"/>
            <w:shd w:fill="FFD966"/>
            <w:tcBorders>
              <w:top w:val="single" w:sz="10" w:space="0" w:color="D6B656"/>
              <w:left w:val="single" w:sz="10" w:space="0" w:color="D6B656"/>
              <w:bottom w:val="single" w:sz="10" w:space="0" w:color="D6B656"/>
              <w:right w:val="single" w:sz="10" w:space="0" w:color="D6B656"/>
            </w:tcBorders>
            <w:tcMar>
              <w:top w:w="115" w:type="dxa"/>
              <w:start w:w="130" w:type="dxa"/>
              <w:bottom w:w="115" w:type="dxa"/>
              <w:end w:w="130" w:type="dxa"/>
            </w:tcMar>
            <w:vAlign w:val="center"/>
          </w:tcPr>
          <w:p>
            <w:pPr>
              <w:spacing w:before="0" w:after="0"/>
            </w:pPr>
            <w:r>
              <w:rPr>
                <w:rFonts w:ascii="Cambria" w:hAnsi="Cambria" w:eastAsia="Cambria" w:cs="Cambria"/>
                <w:b w:val="0"/>
                <w:color w:val="000000"/>
                <w:sz w:val="22"/>
              </w:rPr>
              <w:t>OP-14: Behaviour for partial returns and returns crossing year-end requalification.</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pPr>
        <w:spacing w:after="120"/>
      </w:pPr>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b w:val="0"/>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pPr>
        <w:spacing w:after="120"/>
      </w:pPr>
      <w:r>
        <w:rPr>
          <w:rFonts w:ascii="Cambria" w:hAnsi="Cambria" w:eastAsia="Cambria" w:cs="Cambria"/>
          <w:b w:val="0"/>
          <w:color w:val="555559"/>
          <w:sz w:val="22"/>
        </w:rPr>
        <w:t>This section is reserved for supporting appendices. No external document references are included in this version.</w:t>
      </w:r>
    </w:p>
    <w:p>
      <w:pPr>
        <w:pStyle w:val="Heading1"/>
        <w:pageBreakBefore/>
        <w:pBdr>
          <w:bottom w:val="single" w:sz="10" w:space="4" w:color="FF6B00"/>
        </w:pBdr>
      </w:pPr>
      <w:r>
        <w:rPr>
          <w:rFonts w:ascii="Cambria" w:hAnsi="Cambria" w:eastAsia="Cambria" w:cs="Cambria"/>
          <w:b/>
          <w:color w:val="FF6B00"/>
          <w:sz w:val="32"/>
        </w:rPr>
        <w:t>Glossary</w:t>
      </w:r>
    </w:p>
    <w:p>
      <w:pPr>
        <w:spacing w:after="120"/>
      </w:pPr>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pPr>
        <w:spacing w:after="120"/>
      </w:pPr>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pPr>
        <w:spacing w:after="120"/>
      </w:pPr>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pPr>
        <w:spacing w:after="120"/>
      </w:pPr>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pPr>
        <w:spacing w:after="120"/>
      </w:pPr>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pPr>
        <w:spacing w:after="120"/>
      </w:pPr>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pPr>
        <w:spacing w:after="120"/>
      </w:pPr>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pPr>
        <w:spacing w:after="120"/>
      </w:pPr>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pPr>
        <w:spacing w:after="120"/>
      </w:pPr>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pPr>
        <w:spacing w:after="120"/>
      </w:pPr>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pPr>
        <w:spacing w:after="120"/>
      </w:pPr>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pPr>
        <w:spacing w:after="120"/>
      </w:pPr>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pPr>
        <w:spacing w:after="120"/>
      </w:pPr>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pPr>
        <w:spacing w:after="120"/>
      </w:pPr>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pPr>
        <w:spacing w:after="120"/>
      </w:pPr>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pPr>
        <w:spacing w:after="120"/>
      </w:pPr>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pPr>
        <w:spacing w:after="120"/>
      </w:pPr>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pPr>
        <w:spacing w:after="120"/>
      </w:pPr>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pPr>
        <w:spacing w:after="120"/>
      </w:pPr>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pPr>
        <w:spacing w:after="120"/>
      </w:pPr>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17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ind w:left="-1210" w:right="-1210"/>
      <w:jc w:val="left"/>
    </w:pPr>
    <w:r>
      <w:drawing>
        <wp:inline xmlns:a="http://schemas.openxmlformats.org/drawingml/2006/main" xmlns:pic="http://schemas.openxmlformats.org/drawingml/2006/picture">
          <wp:extent cx="8001000" cy="160020"/>
          <wp:docPr id="1" name="Picture 1"/>
          <wp:cNvGraphicFramePr>
            <a:graphicFrameLocks noChangeAspect="1"/>
          </wp:cNvGraphicFramePr>
          <a:graphic>
            <a:graphicData uri="http://schemas.openxmlformats.org/drawingml/2006/picture">
              <pic:pic>
                <pic:nvPicPr>
                  <pic:cNvPr id="0" name="full_width_header_bar_overextended.png"/>
                  <pic:cNvPicPr/>
                </pic:nvPicPr>
                <pic:blipFill>
                  <a:blip r:embed="rId3"/>
                  <a:stretch>
                    <a:fillRect/>
                  </a:stretch>
                </pic:blipFill>
                <pic:spPr>
                  <a:xfrm>
                    <a:off x="0" y="0"/>
                    <a:ext cx="8001000" cy="160020"/>
                  </a:xfrm>
                  <a:prstGeom prst="rect"/>
                </pic:spPr>
              </pic:pic>
            </a:graphicData>
          </a:graphic>
        </wp:inline>
      </w:drawing>
    </w:r>
  </w:p>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2.png"/><Relationship Id="rId52" Type="http://schemas.openxmlformats.org/officeDocument/2006/relationships/image" Target="media/image43.png"/></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40.png"/><Relationship Id="rId3"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Editable DOCX version: text, callout tables, and screenshots remain separate Word objects.</dc:description>
  <cp:lastModifiedBy/>
  <cp:revision>1</cp:revision>
  <dcterms:created xsi:type="dcterms:W3CDTF">2013-12-23T23:15:00Z</dcterms:created>
  <dcterms:modified xsi:type="dcterms:W3CDTF">2013-12-23T23:15:00Z</dcterms:modified>
  <cp:category/>
</cp:coreProperties>
</file>