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2B648" w14:textId="53B54B88" w:rsidR="00F01B4E" w:rsidRPr="00F01B4E" w:rsidRDefault="00F01B4E" w:rsidP="00F01B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0"/>
        <w:rPr>
          <w:rFonts w:ascii="Google Sans" w:eastAsia="Google Sans" w:hAnsi="Google Sans" w:cs="Google Sans"/>
          <w:b/>
          <w:bCs/>
          <w:color w:val="1F1F1F"/>
          <w:sz w:val="48"/>
          <w:szCs w:val="48"/>
          <w:lang w:val="es-ES"/>
        </w:rPr>
      </w:pPr>
      <w:r>
        <w:rPr>
          <w:rFonts w:ascii="Google Sans" w:eastAsia="Google Sans" w:hAnsi="Google Sans" w:cs="Google Sans"/>
          <w:b/>
          <w:bCs/>
          <w:color w:val="1F1F1F"/>
          <w:sz w:val="48"/>
          <w:szCs w:val="48"/>
          <w:lang w:val="es-ES"/>
        </w:rPr>
        <w:t xml:space="preserve">MATRIZ PODER-INTERES </w:t>
      </w:r>
      <w:r w:rsidRPr="00F01B4E">
        <w:rPr>
          <w:rFonts w:ascii="Google Sans" w:eastAsia="Google Sans" w:hAnsi="Google Sans" w:cs="Google Sans"/>
          <w:b/>
          <w:bCs/>
          <w:color w:val="1F1F1F"/>
          <w:sz w:val="48"/>
          <w:szCs w:val="48"/>
          <w:lang w:val="es-ES"/>
        </w:rPr>
        <w:t>SISTEMA DE INVENTARIO Y PEDIDOS POR LOTES PARA DISTRIBUIDORA DE CÁRNICOS</w:t>
      </w:r>
    </w:p>
    <w:p w14:paraId="38E06694" w14:textId="77777777" w:rsidR="00F01B4E" w:rsidRDefault="00F01B4E" w:rsidP="00F01B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1"/>
        <w:rPr>
          <w:rFonts w:ascii="Google Sans" w:eastAsia="Google Sans" w:hAnsi="Google Sans" w:cs="Google Sans"/>
          <w:b/>
          <w:bCs/>
          <w:color w:val="1F1F1F"/>
          <w:sz w:val="36"/>
          <w:szCs w:val="36"/>
          <w:lang w:val="en-US"/>
        </w:rPr>
      </w:pPr>
    </w:p>
    <w:p w14:paraId="06D2CFC1" w14:textId="62CEF6D6" w:rsidR="00F01B4E" w:rsidRPr="00F01B4E" w:rsidRDefault="00F01B4E" w:rsidP="00F01B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1"/>
        <w:rPr>
          <w:rFonts w:ascii="Google Sans" w:eastAsia="Google Sans" w:hAnsi="Google Sans" w:cs="Google Sans"/>
          <w:b/>
          <w:bCs/>
          <w:color w:val="1F1F1F"/>
          <w:sz w:val="36"/>
          <w:szCs w:val="36"/>
          <w:lang w:val="en-US"/>
        </w:rPr>
      </w:pPr>
      <w:r w:rsidRPr="00F01B4E">
        <w:rPr>
          <w:rFonts w:ascii="Google Sans" w:eastAsia="Google Sans" w:hAnsi="Google Sans" w:cs="Google Sans"/>
          <w:b/>
          <w:bCs/>
          <w:color w:val="1F1F1F"/>
          <w:sz w:val="36"/>
          <w:szCs w:val="36"/>
          <w:lang w:val="en-US"/>
        </w:rPr>
        <w:t xml:space="preserve">1. </w:t>
      </w:r>
      <w:proofErr w:type="spellStart"/>
      <w:r w:rsidRPr="00F01B4E">
        <w:rPr>
          <w:rFonts w:ascii="Google Sans" w:eastAsia="Google Sans" w:hAnsi="Google Sans" w:cs="Google Sans"/>
          <w:b/>
          <w:bCs/>
          <w:color w:val="1F1F1F"/>
          <w:sz w:val="36"/>
          <w:szCs w:val="36"/>
          <w:lang w:val="en-US"/>
        </w:rPr>
        <w:t>Detección</w:t>
      </w:r>
      <w:proofErr w:type="spellEnd"/>
      <w:r w:rsidRPr="00F01B4E">
        <w:rPr>
          <w:rFonts w:ascii="Google Sans" w:eastAsia="Google Sans" w:hAnsi="Google Sans" w:cs="Google Sans"/>
          <w:b/>
          <w:bCs/>
          <w:color w:val="1F1F1F"/>
          <w:sz w:val="36"/>
          <w:szCs w:val="36"/>
          <w:lang w:val="en-US"/>
        </w:rPr>
        <w:t xml:space="preserve"> y </w:t>
      </w:r>
      <w:proofErr w:type="spellStart"/>
      <w:r w:rsidRPr="00F01B4E">
        <w:rPr>
          <w:rFonts w:ascii="Google Sans" w:eastAsia="Google Sans" w:hAnsi="Google Sans" w:cs="Google Sans"/>
          <w:b/>
          <w:bCs/>
          <w:color w:val="1F1F1F"/>
          <w:sz w:val="36"/>
          <w:szCs w:val="36"/>
          <w:lang w:val="en-US"/>
        </w:rPr>
        <w:t>Mapeo</w:t>
      </w:r>
      <w:proofErr w:type="spellEnd"/>
      <w:r w:rsidRPr="00F01B4E">
        <w:rPr>
          <w:rFonts w:ascii="Google Sans" w:eastAsia="Google Sans" w:hAnsi="Google Sans" w:cs="Google Sans"/>
          <w:b/>
          <w:bCs/>
          <w:color w:val="1F1F1F"/>
          <w:sz w:val="36"/>
          <w:szCs w:val="36"/>
          <w:lang w:val="en-US"/>
        </w:rPr>
        <w:t xml:space="preserve"> </w:t>
      </w:r>
      <w:proofErr w:type="spellStart"/>
      <w:r w:rsidRPr="00F01B4E">
        <w:rPr>
          <w:rFonts w:ascii="Google Sans" w:eastAsia="Google Sans" w:hAnsi="Google Sans" w:cs="Google Sans"/>
          <w:b/>
          <w:bCs/>
          <w:color w:val="1F1F1F"/>
          <w:sz w:val="36"/>
          <w:szCs w:val="36"/>
          <w:lang w:val="en-US"/>
        </w:rPr>
        <w:t>Preliminar</w:t>
      </w:r>
      <w:proofErr w:type="spellEnd"/>
      <w:r w:rsidRPr="00F01B4E">
        <w:rPr>
          <w:rFonts w:ascii="Google Sans" w:eastAsia="Google Sans" w:hAnsi="Google Sans" w:cs="Google Sans"/>
          <w:b/>
          <w:bCs/>
          <w:color w:val="1F1F1F"/>
          <w:sz w:val="36"/>
          <w:szCs w:val="36"/>
          <w:lang w:val="en-US"/>
        </w:rPr>
        <w:t xml:space="preserve"> de Stakeholders (Pre-Kick-Off)</w:t>
      </w:r>
    </w:p>
    <w:p w14:paraId="6078CF37" w14:textId="77777777" w:rsidR="00F01B4E" w:rsidRPr="00F01B4E" w:rsidRDefault="00F01B4E" w:rsidP="00F01B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outlineLvl w:val="2"/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es-ES"/>
        </w:rPr>
      </w:pPr>
      <w:r w:rsidRPr="00F01B4E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es-ES"/>
        </w:rPr>
        <w:t>1.1. Categorías y Justificación según el Contexto Distribución de Cárnicos</w:t>
      </w:r>
    </w:p>
    <w:tbl>
      <w:tblPr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01B4E" w:rsidRPr="00F01B4E" w14:paraId="62A0371E" w14:textId="77777777" w:rsidTr="00AB01D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B26DDA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Categoría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2CFF89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Stakeholder </w:t>
            </w: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Identificado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542594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Interés</w:t>
            </w:r>
            <w:proofErr w:type="spellEnd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/ </w:t>
            </w: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Necesidad</w:t>
            </w:r>
            <w:proofErr w:type="spellEnd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Principal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326D85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Impacto</w:t>
            </w:r>
            <w:proofErr w:type="spellEnd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</w:t>
            </w: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en</w:t>
            </w:r>
            <w:proofErr w:type="spellEnd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</w:t>
            </w: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el</w:t>
            </w:r>
            <w:proofErr w:type="spellEnd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Proyecto</w:t>
            </w:r>
          </w:p>
        </w:tc>
      </w:tr>
      <w:tr w:rsidR="00F01B4E" w:rsidRPr="00F01B4E" w14:paraId="7C46A885" w14:textId="77777777" w:rsidTr="00AB01D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6F75C1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Patrocinador</w:t>
            </w:r>
            <w:proofErr w:type="spellEnd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/ Alta </w:t>
            </w: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Dirección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05509E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proofErr w:type="spellStart"/>
            <w:r w:rsidRPr="00F01B4E">
              <w:rPr>
                <w:rFonts w:ascii="Google Sans" w:eastAsia="Google Sans" w:hAnsi="Google Sans" w:cs="Google Sans"/>
                <w:color w:val="1F1F1F"/>
                <w:lang w:val="en-US"/>
              </w:rPr>
              <w:t>Gerencia</w:t>
            </w:r>
            <w:proofErr w:type="spellEnd"/>
            <w:r w:rsidRPr="00F01B4E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General / </w:t>
            </w:r>
            <w:proofErr w:type="spellStart"/>
            <w:r w:rsidRPr="00F01B4E">
              <w:rPr>
                <w:rFonts w:ascii="Google Sans" w:eastAsia="Google Sans" w:hAnsi="Google Sans" w:cs="Google Sans"/>
                <w:color w:val="1F1F1F"/>
                <w:lang w:val="en-US"/>
              </w:rPr>
              <w:t>Propietario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F29FA1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t>Rentabilidad, reducción de mermas por vencimiento de carne, visibilidad de ventas e inventario en tiempo real.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E2C25A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t>Autoriza presupuesto, aprueba el alcance y rinde cuentas financieras sobre el ROI del sistema.</w:t>
            </w:r>
          </w:p>
        </w:tc>
      </w:tr>
      <w:tr w:rsidR="00F01B4E" w:rsidRPr="00F01B4E" w14:paraId="6CE3CF8A" w14:textId="77777777" w:rsidTr="00AB01D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BBEE80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Operadores</w:t>
            </w:r>
            <w:proofErr w:type="spellEnd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</w:t>
            </w: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Directos</w:t>
            </w:r>
            <w:proofErr w:type="spellEnd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(Bodega)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B98BD3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t>Jefe de Bodega y Auxiliares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360A01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t>Control preciso del stock, facilidades para registro de entrada/salida por número de lote, peso y fecha de expiración.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2A6EA6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t>Serán los usuarios operativos clave para el registro del inventario físico y despacho.</w:t>
            </w:r>
          </w:p>
        </w:tc>
      </w:tr>
      <w:tr w:rsidR="00F01B4E" w:rsidRPr="00F01B4E" w14:paraId="6A1C8CCD" w14:textId="77777777" w:rsidTr="00AB01D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9DCE00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Ventas / </w:t>
            </w: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Comercial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F4D35C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proofErr w:type="spellStart"/>
            <w:r w:rsidRPr="00F01B4E">
              <w:rPr>
                <w:rFonts w:ascii="Google Sans" w:eastAsia="Google Sans" w:hAnsi="Google Sans" w:cs="Google Sans"/>
                <w:color w:val="1F1F1F"/>
                <w:lang w:val="en-US"/>
              </w:rPr>
              <w:t>Asesores</w:t>
            </w:r>
            <w:proofErr w:type="spellEnd"/>
            <w:r w:rsidRPr="00F01B4E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</w:t>
            </w:r>
            <w:proofErr w:type="spellStart"/>
            <w:r w:rsidRPr="00F01B4E">
              <w:rPr>
                <w:rFonts w:ascii="Google Sans" w:eastAsia="Google Sans" w:hAnsi="Google Sans" w:cs="Google Sans"/>
                <w:color w:val="1F1F1F"/>
                <w:lang w:val="en-US"/>
              </w:rPr>
              <w:t>Comerciales</w:t>
            </w:r>
            <w:proofErr w:type="spellEnd"/>
            <w:r w:rsidRPr="00F01B4E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(</w:t>
            </w:r>
            <w:proofErr w:type="spellStart"/>
            <w:r w:rsidRPr="00F01B4E">
              <w:rPr>
                <w:rFonts w:ascii="Google Sans" w:eastAsia="Google Sans" w:hAnsi="Google Sans" w:cs="Google Sans"/>
                <w:color w:val="1F1F1F"/>
                <w:lang w:val="en-US"/>
              </w:rPr>
              <w:t>Preventa</w:t>
            </w:r>
            <w:proofErr w:type="spellEnd"/>
            <w:r w:rsidRPr="00F01B4E">
              <w:rPr>
                <w:rFonts w:ascii="Google Sans" w:eastAsia="Google Sans" w:hAnsi="Google Sans" w:cs="Google Sans"/>
                <w:color w:val="1F1F1F"/>
                <w:lang w:val="en-US"/>
              </w:rPr>
              <w:t>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5D1F8D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t>Agilidad para registrar pedidos por tipo de cliente (carnicerías, supermercados, restaurantes) con stock garantizado.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9047BA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t>Generan la entrada de pedidos al sistema y necesitan conocer la disponibilidad real del lote.</w:t>
            </w:r>
          </w:p>
        </w:tc>
      </w:tr>
      <w:tr w:rsidR="00F01B4E" w:rsidRPr="00F01B4E" w14:paraId="66BBC31A" w14:textId="77777777" w:rsidTr="00AB01D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527368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Calidad y </w:t>
            </w: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Normativa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223BF1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t xml:space="preserve">Responsable de Control Sanitario / </w:t>
            </w: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lastRenderedPageBreak/>
              <w:t>Calidad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625A41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lastRenderedPageBreak/>
              <w:t xml:space="preserve">Trazabilidad completa por lote (origen, </w:t>
            </w: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lastRenderedPageBreak/>
              <w:t>fecha de faenado/empaque, fecha de vencimiento) para auditorías de INVIMA o entes de salud.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2D30F4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lastRenderedPageBreak/>
              <w:t xml:space="preserve">Define reglas de negocio críticas para </w:t>
            </w: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lastRenderedPageBreak/>
              <w:t>bloqueo de lotes vencidos o fuera de especificación.</w:t>
            </w:r>
          </w:p>
        </w:tc>
      </w:tr>
      <w:tr w:rsidR="00F01B4E" w:rsidRPr="00F01B4E" w14:paraId="6BB00224" w14:textId="77777777" w:rsidTr="00AB01D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389AB4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lastRenderedPageBreak/>
              <w:t>Logística</w:t>
            </w:r>
            <w:proofErr w:type="spellEnd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y </w:t>
            </w: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Despacho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93D890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t>Encargado de Despacho y Conductores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E7D8BD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t>Conciliación de entregas según pedido, control de peso por lote entregado a cada cliente y recibo a conformidad.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72AEFE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t>Garantizan que el pedido coincida con la salida de inventario registrada.</w:t>
            </w:r>
          </w:p>
        </w:tc>
      </w:tr>
      <w:tr w:rsidR="00F01B4E" w:rsidRPr="00F01B4E" w14:paraId="7E8511AE" w14:textId="77777777" w:rsidTr="00AB01D6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4EFDF0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Clientes</w:t>
            </w:r>
            <w:proofErr w:type="spellEnd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</w:t>
            </w: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Externos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70B888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n-US"/>
              </w:rPr>
            </w:pPr>
            <w:proofErr w:type="spellStart"/>
            <w:r w:rsidRPr="00F01B4E">
              <w:rPr>
                <w:rFonts w:ascii="Google Sans" w:eastAsia="Google Sans" w:hAnsi="Google Sans" w:cs="Google Sans"/>
                <w:color w:val="1F1F1F"/>
                <w:lang w:val="en-US"/>
              </w:rPr>
              <w:t>Clientes</w:t>
            </w:r>
            <w:proofErr w:type="spellEnd"/>
            <w:r w:rsidRPr="00F01B4E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 B2B (</w:t>
            </w:r>
            <w:proofErr w:type="spellStart"/>
            <w:r w:rsidRPr="00F01B4E">
              <w:rPr>
                <w:rFonts w:ascii="Google Sans" w:eastAsia="Google Sans" w:hAnsi="Google Sans" w:cs="Google Sans"/>
                <w:color w:val="1F1F1F"/>
                <w:lang w:val="en-US"/>
              </w:rPr>
              <w:t>Supermercados</w:t>
            </w:r>
            <w:proofErr w:type="spellEnd"/>
            <w:r w:rsidRPr="00F01B4E">
              <w:rPr>
                <w:rFonts w:ascii="Google Sans" w:eastAsia="Google Sans" w:hAnsi="Google Sans" w:cs="Google Sans"/>
                <w:color w:val="1F1F1F"/>
                <w:lang w:val="en-US"/>
              </w:rPr>
              <w:t xml:space="preserve">, </w:t>
            </w:r>
            <w:proofErr w:type="spellStart"/>
            <w:r w:rsidRPr="00F01B4E">
              <w:rPr>
                <w:rFonts w:ascii="Google Sans" w:eastAsia="Google Sans" w:hAnsi="Google Sans" w:cs="Google Sans"/>
                <w:color w:val="1F1F1F"/>
                <w:lang w:val="en-US"/>
              </w:rPr>
              <w:t>Carnicerías</w:t>
            </w:r>
            <w:proofErr w:type="spellEnd"/>
            <w:r w:rsidRPr="00F01B4E">
              <w:rPr>
                <w:rFonts w:ascii="Google Sans" w:eastAsia="Google Sans" w:hAnsi="Google Sans" w:cs="Google Sans"/>
                <w:color w:val="1F1F1F"/>
                <w:lang w:val="en-US"/>
              </w:rPr>
              <w:t>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63F2CD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t>Entregas exactas en peso y cortes solicitados, cumplimiento de fechas de entrega y garantía de frescura/vida útil restante.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66818F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t>Evalúan la calidad del servicio; su satisfacción determina la retención del cliente.</w:t>
            </w:r>
          </w:p>
        </w:tc>
      </w:tr>
    </w:tbl>
    <w:p w14:paraId="52042C08" w14:textId="77777777" w:rsidR="00F01B4E" w:rsidRPr="00F01B4E" w:rsidRDefault="00F01B4E" w:rsidP="00F01B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0" w:after="120" w:line="275" w:lineRule="auto"/>
        <w:outlineLvl w:val="2"/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es-ES"/>
        </w:rPr>
      </w:pPr>
      <w:r w:rsidRPr="00F01B4E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es-ES"/>
        </w:rPr>
        <w:t xml:space="preserve">1.2. Puntuación de Poder e Interés con Evidencia (Matriz de </w:t>
      </w:r>
      <w:proofErr w:type="spellStart"/>
      <w:r w:rsidRPr="00F01B4E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es-ES"/>
        </w:rPr>
        <w:t>Mendelow</w:t>
      </w:r>
      <w:proofErr w:type="spellEnd"/>
      <w:r w:rsidRPr="00F01B4E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es-ES"/>
        </w:rPr>
        <w:t>)</w:t>
      </w:r>
    </w:p>
    <w:p w14:paraId="051A176F" w14:textId="77777777" w:rsidR="00F01B4E" w:rsidRPr="00F01B4E" w:rsidRDefault="00F01B4E" w:rsidP="00F01B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s-ES"/>
        </w:rPr>
      </w:pPr>
      <w:r w:rsidRPr="00F01B4E">
        <w:rPr>
          <w:rFonts w:ascii="Google Sans" w:eastAsia="Google Sans" w:hAnsi="Google Sans" w:cs="Google Sans"/>
          <w:color w:val="1F1F1F"/>
          <w:lang w:val="es-ES"/>
        </w:rPr>
        <w:t>Evaluación en escala de 1 a 5 justificada con evidencia concreta de la operación comercial cárnica:</w:t>
      </w:r>
    </w:p>
    <w:tbl>
      <w:tblPr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F01B4E" w:rsidRPr="00F01B4E" w14:paraId="709EAD1F" w14:textId="77777777" w:rsidTr="00AB01D6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01BFB6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Stakeholder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248069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Poder</w:t>
            </w:r>
            <w:proofErr w:type="spellEnd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(1-5)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5F0712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Evidencia</w:t>
            </w:r>
            <w:proofErr w:type="spellEnd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de </w:t>
            </w: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Poder</w:t>
            </w:r>
            <w:proofErr w:type="spellEnd"/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9F2FF5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Interés</w:t>
            </w:r>
            <w:proofErr w:type="spellEnd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(1-5)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FF8B92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Evidencia</w:t>
            </w:r>
            <w:proofErr w:type="spellEnd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de </w:t>
            </w: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Interés</w:t>
            </w:r>
            <w:proofErr w:type="spellEnd"/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9A110B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Cuadrante</w:t>
            </w:r>
            <w:proofErr w:type="spellEnd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</w:t>
            </w: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Asignado</w:t>
            </w:r>
            <w:proofErr w:type="spellEnd"/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8CA4E5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Estrategia</w:t>
            </w:r>
            <w:proofErr w:type="spellEnd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de </w:t>
            </w: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Gestión</w:t>
            </w:r>
            <w:proofErr w:type="spellEnd"/>
          </w:p>
        </w:tc>
      </w:tr>
      <w:tr w:rsidR="00F01B4E" w:rsidRPr="00F01B4E" w14:paraId="5134BECD" w14:textId="77777777" w:rsidTr="00AB01D6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64667D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Gerencia</w:t>
            </w:r>
            <w:proofErr w:type="spellEnd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General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BC965D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E1362A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t xml:space="preserve">Autoridad total para aprobar, modificar o congelar el presupuesto y la </w:t>
            </w: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lastRenderedPageBreak/>
              <w:t>adopción del software.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E7D4EE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lastRenderedPageBreak/>
              <w:t>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E088F9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t xml:space="preserve">Su margen financiero depende directamente de evitar la pérdida de carne por </w:t>
            </w: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lastRenderedPageBreak/>
              <w:t>vencimiento de lotes.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F3A27B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lastRenderedPageBreak/>
              <w:t xml:space="preserve">Alto </w:t>
            </w: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Poder</w:t>
            </w:r>
            <w:proofErr w:type="spellEnd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/ Alto </w:t>
            </w: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Interés</w:t>
            </w:r>
            <w:proofErr w:type="spellEnd"/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AD236D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s-ES"/>
              </w:rPr>
              <w:t>Gestionar de Cerca</w:t>
            </w: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t xml:space="preserve"> (Alinear decisiones estratégicas e indicadores de ROI)</w:t>
            </w:r>
          </w:p>
        </w:tc>
      </w:tr>
      <w:tr w:rsidR="00F01B4E" w:rsidRPr="00F01B4E" w14:paraId="77B755CF" w14:textId="77777777" w:rsidTr="00AB01D6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888CC5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Jefe de Bodega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8D5AA6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4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DB8087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t>Control de la operación diaria; si no adopta el sistema, el inventario mantendrá inconsistencias.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DE75F1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5F492F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t>Alto impacto en su trabajo diario al sustituir notas en papel/Excel por la gestión digital de lotes.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87777A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Alto </w:t>
            </w: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Poder</w:t>
            </w:r>
            <w:proofErr w:type="spellEnd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/ Alto </w:t>
            </w: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Interés</w:t>
            </w:r>
            <w:proofErr w:type="spellEnd"/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FF5045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s-ES"/>
              </w:rPr>
              <w:t>Gestionar de Cerca</w:t>
            </w: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t xml:space="preserve"> (Involucrar intensamente en prototipado y pruebas)</w:t>
            </w:r>
          </w:p>
        </w:tc>
      </w:tr>
      <w:tr w:rsidR="00F01B4E" w:rsidRPr="00F01B4E" w14:paraId="08098815" w14:textId="77777777" w:rsidTr="00AB01D6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63D1DF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Responsable</w:t>
            </w:r>
            <w:proofErr w:type="spellEnd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de Calidad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77329A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4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DD0893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t>Tiene potestad legal e interna para vetar la salida de un lote si no cumple la trazabilidad sanitaria.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9EC5F3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4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1CA6E3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t>Requiere reportes de trazabilidad inmediata ante cualquier reclamo o inspección sanitaria.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3B215E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Alto </w:t>
            </w: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Poder</w:t>
            </w:r>
            <w:proofErr w:type="spellEnd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/ Alto </w:t>
            </w: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Interés</w:t>
            </w:r>
            <w:proofErr w:type="spellEnd"/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7BD0E3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s-ES"/>
              </w:rPr>
              <w:t>Gestionar de Cerca</w:t>
            </w: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t xml:space="preserve"> (Garantizar cumplimiento de reglas de inventario por lote)</w:t>
            </w:r>
          </w:p>
        </w:tc>
      </w:tr>
      <w:tr w:rsidR="00F01B4E" w:rsidRPr="00F01B4E" w14:paraId="54D9F0AB" w14:textId="77777777" w:rsidTr="00AB01D6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B64B98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Asesores</w:t>
            </w:r>
            <w:proofErr w:type="spellEnd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</w:t>
            </w: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Comerciales</w:t>
            </w:r>
            <w:proofErr w:type="spellEnd"/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7EE861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A582EA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t>No toman decisiones de infraestructura o presupuesto, pero ejecutan la venta.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9C3542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B3EE2F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t xml:space="preserve">Necesitan visibilidad de stock real para evitar comprometer pedidos sin disponibilidad de </w:t>
            </w: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lastRenderedPageBreak/>
              <w:t>lote.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C5464F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lastRenderedPageBreak/>
              <w:t xml:space="preserve">Bajo </w:t>
            </w: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Poder</w:t>
            </w:r>
            <w:proofErr w:type="spellEnd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/ Alto </w:t>
            </w: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Interés</w:t>
            </w:r>
            <w:proofErr w:type="spellEnd"/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27183E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s-ES"/>
              </w:rPr>
              <w:t>Mantener Informado / Involucrar</w:t>
            </w: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t xml:space="preserve"> (Diseñar interfaz ágil para toma de pedidos)</w:t>
            </w:r>
          </w:p>
        </w:tc>
      </w:tr>
      <w:tr w:rsidR="00F01B4E" w:rsidRPr="00F01B4E" w14:paraId="5CCE2FC9" w14:textId="77777777" w:rsidTr="00AB01D6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F2AA8F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Clientes</w:t>
            </w:r>
            <w:proofErr w:type="spellEnd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B2B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861301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93EC27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t>No intervienen en la toma de decisiones tecnológicas internas de la distribuidora.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D73F08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4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99C57B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t>Dependen de recibir el producto cárnico con la vida útil prometida y el peso exacto cobrado.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3A0CFF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Bajo </w:t>
            </w: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Poder</w:t>
            </w:r>
            <w:proofErr w:type="spellEnd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/ Alto </w:t>
            </w: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Interés</w:t>
            </w:r>
            <w:proofErr w:type="spellEnd"/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1182A8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s-ES"/>
              </w:rPr>
              <w:t>Mantener Informado</w:t>
            </w: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t xml:space="preserve"> (Garantizar remisiones claras y trazabilidad del pedido)</w:t>
            </w:r>
          </w:p>
        </w:tc>
      </w:tr>
      <w:tr w:rsidR="00F01B4E" w:rsidRPr="00F01B4E" w14:paraId="64F4BB90" w14:textId="77777777" w:rsidTr="00AB01D6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0C1A2B" w14:textId="4A14710E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Conductores</w:t>
            </w:r>
            <w:proofErr w:type="spellEnd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/ </w:t>
            </w: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Despacho</w:t>
            </w:r>
            <w:proofErr w:type="spellEnd"/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54CFE5" w14:textId="07E465E1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B849CD" w14:textId="262BAEE2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t>Ejecutan la entrega final según la hoja de ruta establecida por logística.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F40D7E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B69AAC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t>Les afecta en el tiempo de carga en bodega y en la verificación de mercancía con el cliente.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58BB16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</w:pPr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Bajo </w:t>
            </w: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Poder</w:t>
            </w:r>
            <w:proofErr w:type="spellEnd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 xml:space="preserve"> / Bajo </w:t>
            </w:r>
            <w:proofErr w:type="spellStart"/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n-US"/>
              </w:rPr>
              <w:t>Interés</w:t>
            </w:r>
            <w:proofErr w:type="spellEnd"/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0E0578" w14:textId="77777777" w:rsidR="00F01B4E" w:rsidRPr="00F01B4E" w:rsidRDefault="00F01B4E" w:rsidP="00F01B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Google Sans" w:eastAsia="Google Sans" w:hAnsi="Google Sans" w:cs="Google Sans"/>
                <w:color w:val="1F1F1F"/>
                <w:lang w:val="es-ES"/>
              </w:rPr>
            </w:pPr>
            <w:r w:rsidRPr="00F01B4E">
              <w:rPr>
                <w:rFonts w:ascii="Google Sans" w:eastAsia="Google Sans" w:hAnsi="Google Sans" w:cs="Google Sans"/>
                <w:b/>
                <w:bCs/>
                <w:color w:val="1F1F1F"/>
                <w:lang w:val="es-ES"/>
              </w:rPr>
              <w:t>Monitorear / Mantener Satisfecho</w:t>
            </w:r>
            <w:r w:rsidRPr="00F01B4E">
              <w:rPr>
                <w:rFonts w:ascii="Google Sans" w:eastAsia="Google Sans" w:hAnsi="Google Sans" w:cs="Google Sans"/>
                <w:color w:val="1F1F1F"/>
                <w:lang w:val="es-ES"/>
              </w:rPr>
              <w:t xml:space="preserve"> (Capacitar en verificación simple de entrega)</w:t>
            </w:r>
          </w:p>
        </w:tc>
      </w:tr>
    </w:tbl>
    <w:p w14:paraId="3B05353B" w14:textId="6AC3B396" w:rsidR="00ED3D20" w:rsidRDefault="00013BD7">
      <w:r w:rsidRPr="00013BD7">
        <w:drawing>
          <wp:anchor distT="0" distB="0" distL="114300" distR="114300" simplePos="0" relativeHeight="251658240" behindDoc="0" locked="0" layoutInCell="1" allowOverlap="1" wp14:anchorId="653676BD" wp14:editId="40EA4DB3">
            <wp:simplePos x="0" y="0"/>
            <wp:positionH relativeFrom="margin">
              <wp:posOffset>-598170</wp:posOffset>
            </wp:positionH>
            <wp:positionV relativeFrom="margin">
              <wp:posOffset>5218430</wp:posOffset>
            </wp:positionV>
            <wp:extent cx="6990133" cy="3490321"/>
            <wp:effectExtent l="0" t="0" r="127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0133" cy="3490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5A9A91" w14:textId="7475EAF5" w:rsidR="00013BD7" w:rsidRDefault="00013BD7"/>
    <w:sectPr w:rsidR="00013B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B4E"/>
    <w:rsid w:val="00013BD7"/>
    <w:rsid w:val="00ED3D20"/>
    <w:rsid w:val="00F0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A0753"/>
  <w15:chartTrackingRefBased/>
  <w15:docId w15:val="{E37B62B1-4B26-4C87-B9EB-A0B5E7410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626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demo</dc:creator>
  <cp:keywords/>
  <dc:description/>
  <cp:lastModifiedBy>demo</cp:lastModifiedBy>
  <cp:revision>2</cp:revision>
  <dcterms:created xsi:type="dcterms:W3CDTF">2026-09-26T21:51:00Z</dcterms:created>
  <dcterms:modified xsi:type="dcterms:W3CDTF">2026-09-26T22:02:00Z</dcterms:modified>
</cp:coreProperties>
</file>