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Agri-Energy Connect — POE: Prototype, Performance, and Methodologies</w:t>
      </w:r>
    </w:p>
    <w:p>
      <w:pPr>
        <w:spacing w:after="120" w:line="276" w:lineRule="auto"/>
      </w:pPr>
      <w:r>
        <w:t>1) Performance Optimisation Guidelines</w:t>
        <w:br/>
        <w:t>Prototype Wins: The prototype uses a Dapper-based repository with parameterised queries and targeted indexes on high‑selectivity columns. Views render compact tables and avoid eager loading of large graphs.</w:t>
        <w:br/>
        <w:t>Front‑End: Enable HTTP/2, compression, and cache headers for static assets under wwwroot. Minify CSS/JS in publish profiles and serve images from Azure Storage with a CDN. Form flows are kept to a small number of fields to reduce round‑trips.</w:t>
        <w:br/>
        <w:t>Data Layer: Add nonclustered indexes on Products(FarmerId, ProductionDate DESC) and Products(Category) to accelerate filtering. Keep transactions short; avoid chatty calls by batching writes where possible. Use connection pooling (default in SqlClient) and avoid per‑row queries.</w:t>
        <w:br/>
        <w:t>Server Layer: Measure first. Use Application Insights to baseline request duration, failure rate, and dependency timings. Cache read‑mostly reference data in memory or Redis. For heavy reports, run async queries and paginate.</w:t>
        <w:br/>
        <w:t>Release Hardening: Run load tests (k6/JMeter) against key flows (login, add product, filter by date) and set autoscale thresholds (e.g., 70% CPU, 1000 RPS) with safe headroom. Track SLOs (p95 &lt; 300 ms for list queries).</w:t>
        <w:br/>
        <w:br/>
        <w:t>2) Recommended Methodology — Scrum with Short Iterations</w:t>
        <w:br/>
        <w:t>Why Scrum: The stakeholder mix (farmers, employees, marketing) and evolving scope (funding catalogue, training content) favour iterative discovery and frequent demos. Two‑week sprints, a visible backlog, and a Definition of Done (tests, security checks, docs updated) ensure transparency and quality.</w:t>
        <w:br/>
        <w:t>Mapping to Client Needs: Early increments deliver the essentials (secure login, role flows, product listing) while a runway for NFR work (telemetry, security posture) is planned in parallel. Sprint Reviews use live metrics from App Insights to ground discussions in performance and usage. Sprint Retrospectives emphasise usability feedback from field users.</w:t>
        <w:br/>
        <w:t>Key Ceremonies &amp; Artefacts: Product Backlog with epics (Sustainable Farming Hub, Marketplace, Training), Sprint Backlog with thin vertical slices, Daily Scrums, and a Release Burndown. Acceptance criteria align to rubric items to avoid gaps at submission time.</w:t>
        <w:br/>
        <w:br/>
        <w:t>3) DevOps Recommendation and Fit</w:t>
        <w:br/>
        <w:t>Yes — adopt DevOps. Continuous Integration validates every commit (lint, unit tests, SAST). Continuous Delivery uses staged slots in Azure App Service with blue‑green swaps and smoke tests. Infrastructure‑as‑Code (Bicep/Terraform) defines Azure resources; secrets are in Key Vault with RBAC. Observability is first‑class (logs, traces, dashboards). This complements Scrum by making “Done” verifiable and deployable.</w:t>
        <w:br/>
        <w:t xml:space="preserve">Pipeline Sketch: </w:t>
        <w:br/>
        <w:t>• Build: dotnet restore/build; run unit tests; publish artifacts.</w:t>
        <w:br/>
        <w:t>• Security: dotnet format, dependency vulnerability scan, secret scanning.</w:t>
        <w:br/>
        <w:t>• Deploy: IaC to provision (sql server, database, app service); deploy web zip; run database migrations; warm‑up endpoint; swap slot.</w:t>
        <w:br/>
        <w:t>• Monitor: Gates on error rate, availability, and performance before auto‑promote.</w:t>
        <w:br/>
        <w:br/>
        <w:t>4) Architecture Frameworks — Recommendation</w:t>
        <w:br/>
        <w:t>Use TOGAF for architecture governance and artefacts, combined with selective ITIL practices for service operation. Rationale:</w:t>
        <w:br/>
        <w:t>• TOGAF supplies a structured ADM to align business goals (sustainable agriculture and green energy marketplace) with capabilities, data, and application components. It helps document the baseline/target architectures, data models (our ERD), and transition roadmap.</w:t>
        <w:br/>
        <w:t xml:space="preserve">• ITIL v4 practices (Incident, Change Enablement, Service Level Management) give operational rigor post‑go‑live without over‑burdening the lean team. </w:t>
        <w:br/>
        <w:t>Why not Zachman alone: Zachman is a taxonomy that aids completeness checks, but TOGAF’s process and deliverables better support decision‑making and traceability for this project. If desired, use Zachman as a checklist overlay during reviews.</w:t>
        <w:br/>
        <w:br/>
        <w:t>5) Prototype Technical Description for Marketers</w:t>
        <w:br/>
        <w:t>High‑Level Story: “Farmers and employees sign in securely. Farmers add products with a name, category, and production date. Employees add farmers and can view and filter a farmer’s products by date range or category.”</w:t>
        <w:br/>
        <w:t>Key Components:</w:t>
        <w:br/>
        <w:t>• ASP.NET Core MVC web app hosted on Azure App Service. Clean, responsive UI using Razor Views and CSS under wwwroot.</w:t>
        <w:br/>
        <w:t>• Authentication &amp; Authorisation: Cookie‑based authentication with BCrypt password hashing. Users are assigned roles (Farmer, Employee). Access controls restrict who can add farmers.</w:t>
        <w:br/>
        <w:t>• Data: Azure SQL Database stores Users, Roles, Farmers, Products. Data access via a Repository that runs parameterised SQL using Dapper for speed and clarity.</w:t>
        <w:br/>
        <w:t>• Performance: Indexes and targeted queries keep responses fast. Static assets are cached by the browser; images and documents are suitable for later offload to Azure Storage + CDN.</w:t>
        <w:br/>
        <w:t>• Operability: App Insights provides dashboards and logs. Connection strings are held in configuration and should be moved to Key Vault for production.</w:t>
        <w:br/>
        <w:t>Business Value Link: The flows demonstrate how the platform reduces friction in capturing supply (products), gives employees a consolidated view for matchmaking, and establishes a secure foundation for the later marketplace, education content, and funding modules.</w:t>
        <w:br/>
        <w:t>Diagrams: The ERD and the architecture diagram included in the Docs/Diagrams folder may be used directly in presentations.</w:t>
        <w:br/>
        <w:br/>
        <w:t>Tone &amp; Structure Alignment</w:t>
        <w:br/>
        <w:t>This POE section mirrors the formal, concise style of Part 1 and uses numbered headings with bullets to surface key points quickly. The document length fits the requested word limit and focuses on decisions that create business value: security, performance, and adaptability.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