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Agri-Energy Connect — Part 1: Requirements and Design Patterns</w:t>
      </w:r>
    </w:p>
    <w:p>
      <w:pPr>
        <w:spacing w:after="120" w:line="276" w:lineRule="auto"/>
      </w:pPr>
      <w:r>
        <w:t>Tone and Audience</w:t>
        <w:br/>
        <w:t>This proposal section is written for a bid committee that includes technical and non‑technical members. The tone is formal but plain, avoiding jargon unless it adds precision.</w:t>
        <w:br/>
        <w:br/>
        <w:t>1) Non‑Functional Requirements (NFRs) and Practical Strategies</w:t>
        <w:br/>
        <w:t>• Scalability: Usage will vary seasonally and by campaign. We will deploy the ASP.NET Core MVC application to an Azure App Service with autoscale rules based on CPU/requests and use Azure SQL Database with elastic pools. Read‑heavy pages (catalog and training materials) will be cached via Azure Cache for Redis, and images/attachments will be served from Azure Storage with CDN.</w:t>
        <w:br/>
        <w:t>• Security: We will enforce TLS, store passwords with BCrypt, implement role‑based authorization (Farmer, Employee), and apply parameterized SQL via Dapper. Azure Key Vault will store secrets; SQL firewall and network rules will limit access. Regular backups and geo‑replication protect data.</w:t>
        <w:br/>
        <w:t>• Usability: A clean, responsive layout ensures tasks are completed in a few steps (e.g., add product in three inputs). We will apply consistent labeling, validation messages, and keyboard navigation.</w:t>
        <w:br/>
        <w:t>• Performance: N+1 queries are avoided with targeted repository methods and indexes on Products(FarmerId, Category, ProductionDate). HTTP compression and caching headers reduce payloads.</w:t>
        <w:br/>
        <w:t>• Reliability and Observability: App Insights traces request rates, failures, and dependency latency. Health endpoints and alerts (failed logons, error bursts) reduce MTTR.</w:t>
        <w:br/>
        <w:t>Impact on Approach: These NFRs drive architecture choices: layered MVC with a thin repository; cloud PaaS services; automated validation; and CI linting/tests to keep performance and security from regressing.</w:t>
        <w:br/>
        <w:br/>
        <w:t>2) Role of Design and Architecture Patterns</w:t>
        <w:br/>
        <w:t>• MVC separates concerns for maintainability and team flow (controllers, views, models).</w:t>
        <w:br/>
        <w:t>• Repository pattern isolates data access (Dapper against Azure SQL), enabling testability and future EF Core migration.</w:t>
        <w:br/>
        <w:t>• Strategy and Specification patterns inform filtering and validation: a filter object (date range, category) composes SQL WHERE clauses safely; validators encapsulate rules.</w:t>
        <w:br/>
        <w:t>• Factory pattern constructs role‑aware services (e.g., commands that need the current user).</w:t>
        <w:br/>
        <w:t>• CQRS‑lite: simple commands (add farmer/product) versus queries (filter product lists) avoid coupling and simplify optimization.</w:t>
        <w:br/>
        <w:t>Value to the Project: These patterns reduce accidental complexity, improve testability and extensibility (adding new product categories or funding features), and make performance tuning explicit at query boundaries.</w:t>
        <w:br/>
        <w:br/>
        <w:t>3) Structure and Visual Aids</w:t>
        <w:br/>
        <w:t>The document is structured with numbered headings and bullets for skim readability. The ERD clarifies core entities (Users, Roles, Farmers, Products), while an architecture diagram shows browser–MVC–database interactions.</w:t>
        <w:br/>
        <w:br/>
        <w:t>Conclusion</w:t>
        <w:br/>
        <w:t>The proposed design aligns sustainability goals with a robust, secure, and scalable platform. It emphasizes a user experience that minimizes steps, clear role separation for data protection, and patterns that keep the codebase adaptable for later marketplace and training modules.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