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F568" w14:textId="77777777" w:rsidR="00916813" w:rsidRDefault="00234F49">
      <w:pPr>
        <w:spacing w:after="50"/>
        <w:jc w:val="center"/>
      </w:pPr>
      <w:r>
        <w:rPr>
          <w:b/>
          <w:bCs/>
          <w:color w:val="1B2A4A"/>
          <w:sz w:val="32"/>
          <w:szCs w:val="32"/>
        </w:rPr>
        <w:t>How Budget Influences Horror Narratives?</w:t>
      </w:r>
    </w:p>
    <w:p w14:paraId="3C7AA020" w14:textId="77777777" w:rsidR="00916813" w:rsidRDefault="00234F49">
      <w:pPr>
        <w:spacing w:after="50"/>
        <w:jc w:val="center"/>
      </w:pPr>
      <w:r>
        <w:rPr>
          <w:i/>
          <w:iCs/>
          <w:color w:val="666666"/>
        </w:rPr>
        <w:t>A Text Mining Study of Horror Movie Descriptions (TMDB)</w:t>
      </w:r>
    </w:p>
    <w:p w14:paraId="475DC384" w14:textId="37A630B6" w:rsidR="00916813" w:rsidRPr="00FB0FAB" w:rsidRDefault="00234F49">
      <w:pPr>
        <w:spacing w:after="220"/>
        <w:jc w:val="center"/>
        <w:rPr>
          <w:sz w:val="22"/>
          <w:szCs w:val="22"/>
        </w:rPr>
      </w:pPr>
      <w:r w:rsidRPr="00FB0FAB">
        <w:rPr>
          <w:color w:val="999999"/>
          <w:sz w:val="18"/>
          <w:szCs w:val="18"/>
        </w:rPr>
        <w:t xml:space="preserve">Assignment </w:t>
      </w:r>
      <w:r w:rsidR="00AB7E5D" w:rsidRPr="00FB0FAB">
        <w:rPr>
          <w:color w:val="999999"/>
          <w:sz w:val="18"/>
          <w:szCs w:val="18"/>
        </w:rPr>
        <w:t xml:space="preserve">2 </w:t>
      </w:r>
      <w:proofErr w:type="gramStart"/>
      <w:r w:rsidR="00AB7E5D" w:rsidRPr="00FB0FAB">
        <w:rPr>
          <w:color w:val="999999"/>
          <w:sz w:val="18"/>
          <w:szCs w:val="18"/>
        </w:rPr>
        <w:t>—</w:t>
      </w:r>
      <w:r w:rsidRPr="00FB0FAB">
        <w:rPr>
          <w:color w:val="999999"/>
          <w:sz w:val="18"/>
          <w:szCs w:val="18"/>
        </w:rPr>
        <w:t xml:space="preserve">  </w:t>
      </w:r>
      <w:r w:rsidR="001473F9" w:rsidRPr="00FB0FAB">
        <w:rPr>
          <w:color w:val="999999"/>
          <w:sz w:val="18"/>
          <w:szCs w:val="18"/>
        </w:rPr>
        <w:t>Natural</w:t>
      </w:r>
      <w:proofErr w:type="gramEnd"/>
      <w:r w:rsidR="001473F9" w:rsidRPr="00FB0FAB">
        <w:rPr>
          <w:color w:val="999999"/>
          <w:sz w:val="18"/>
          <w:szCs w:val="18"/>
        </w:rPr>
        <w:t xml:space="preserve"> Language Processing — EDHEC</w:t>
      </w:r>
      <w:r w:rsidRPr="00FB0FAB">
        <w:rPr>
          <w:color w:val="999999"/>
          <w:sz w:val="18"/>
          <w:szCs w:val="18"/>
        </w:rPr>
        <w:t xml:space="preserve"> Business School</w:t>
      </w:r>
      <w:r w:rsidR="001473F9" w:rsidRPr="00FB0FAB">
        <w:rPr>
          <w:color w:val="999999"/>
          <w:sz w:val="18"/>
          <w:szCs w:val="18"/>
        </w:rPr>
        <w:t xml:space="preserve"> — Ricardo Padilla Herrera</w:t>
      </w:r>
    </w:p>
    <w:p w14:paraId="3942EE9F" w14:textId="66970F2A" w:rsidR="007245A1" w:rsidRPr="00A92C25" w:rsidRDefault="00DC7B7A" w:rsidP="00AB7E5D">
      <w:pPr>
        <w:pStyle w:val="Heading1"/>
      </w:pPr>
      <w:r w:rsidRPr="00A92C25">
        <w:t>OBJECTIVE &amp; BUSINESS RELEVANCE</w:t>
      </w:r>
    </w:p>
    <w:p w14:paraId="7E9B0283" w14:textId="77777777" w:rsidR="00AB7E5D" w:rsidRPr="00A92C25" w:rsidRDefault="00AB7E5D" w:rsidP="007245A1">
      <w:pPr>
        <w:pStyle w:val="Heading1"/>
        <w:rPr>
          <w:b w:val="0"/>
          <w:bCs w:val="0"/>
          <w:color w:val="auto"/>
        </w:rPr>
      </w:pPr>
      <w:r w:rsidRPr="00A92C25">
        <w:rPr>
          <w:b w:val="0"/>
          <w:bCs w:val="0"/>
          <w:color w:val="auto"/>
        </w:rPr>
        <w:t>This study investigates whether production budget influences how horror movies are described in their marketing text. Movie overviews are key informational assets on both streaming platforms and theatrical releases: they shape audience expectations, affect click-through decisions, and signal the type of horror experience the viewer can expect (for example supernatural, investigative, or psychological horror). By comparing high-budget and low-budget horror descriptions, this analysis aims to identify systematic differences in narrative framing that may inform metadata writing, catalog curation, and recommendation strategies for content platforms.</w:t>
      </w:r>
    </w:p>
    <w:p w14:paraId="7C9BE9B9" w14:textId="0720564A" w:rsidR="00916813" w:rsidRPr="00A92C25" w:rsidRDefault="00DC7B7A" w:rsidP="007245A1">
      <w:pPr>
        <w:pStyle w:val="Heading1"/>
      </w:pPr>
      <w:r w:rsidRPr="00A92C25">
        <w:t>DATA</w:t>
      </w:r>
    </w:p>
    <w:p w14:paraId="10241B26" w14:textId="21E9C5A3" w:rsidR="001473F9" w:rsidRPr="00A92C25" w:rsidRDefault="001473F9" w:rsidP="00AB7E5D">
      <w:pPr>
        <w:jc w:val="both"/>
        <w:rPr>
          <w:sz w:val="18"/>
          <w:szCs w:val="18"/>
        </w:rPr>
      </w:pPr>
      <w:r w:rsidRPr="00A92C25">
        <w:rPr>
          <w:sz w:val="18"/>
          <w:szCs w:val="18"/>
        </w:rPr>
        <w:t>The corpus is constructed from the TMDB Movies Dataset (2023) available on Kaggle (Asaniczka, 2023).</w:t>
      </w:r>
      <w:r w:rsidR="00AB7E5D" w:rsidRPr="00A92C25">
        <w:rPr>
          <w:sz w:val="18"/>
          <w:szCs w:val="18"/>
        </w:rPr>
        <w:t xml:space="preserve"> </w:t>
      </w:r>
      <w:r w:rsidRPr="00A92C25">
        <w:rPr>
          <w:sz w:val="18"/>
          <w:szCs w:val="18"/>
        </w:rPr>
        <w:t>The overview column is used as the primary textual corpus because it corresponds to the marketing synopsis presented to users.</w:t>
      </w:r>
    </w:p>
    <w:p w14:paraId="098B7EF7" w14:textId="77777777" w:rsidR="00AB7E5D" w:rsidRPr="00A92C25" w:rsidRDefault="00AB7E5D" w:rsidP="00AB7E5D">
      <w:pPr>
        <w:jc w:val="both"/>
        <w:rPr>
          <w:sz w:val="18"/>
          <w:szCs w:val="18"/>
        </w:rPr>
      </w:pPr>
    </w:p>
    <w:p w14:paraId="31C18707" w14:textId="1E823938" w:rsidR="00AB7E5D" w:rsidRPr="00A92C25" w:rsidRDefault="00AB7E5D" w:rsidP="00AB7E5D">
      <w:pPr>
        <w:jc w:val="both"/>
        <w:rPr>
          <w:sz w:val="18"/>
          <w:szCs w:val="18"/>
        </w:rPr>
      </w:pPr>
      <w:r w:rsidRPr="00A92C25">
        <w:rPr>
          <w:sz w:val="18"/>
          <w:szCs w:val="18"/>
        </w:rPr>
        <w:t>Before genre filtering, the dataset was cleaned to ensure valid observations. Rows with missing overview, genre, or budget values were removed, budget and revenue variables were converted to numeric format, and films with non-positive or placeholder budgets (&lt; 10,000 USD) were excluded. Extremely short descriptions were also discarded to avoid non-informative documents. These steps ensured that the corpus contained meaningful and comparable movie descriptions.</w:t>
      </w:r>
    </w:p>
    <w:p w14:paraId="5432309C" w14:textId="77777777" w:rsidR="001473F9" w:rsidRPr="00A92C25" w:rsidRDefault="001473F9" w:rsidP="00AB7E5D">
      <w:pPr>
        <w:jc w:val="both"/>
        <w:rPr>
          <w:sz w:val="18"/>
          <w:szCs w:val="18"/>
        </w:rPr>
      </w:pPr>
    </w:p>
    <w:p w14:paraId="50167CC3" w14:textId="00D1FDFC" w:rsidR="001473F9" w:rsidRPr="00A92C25" w:rsidRDefault="001473F9" w:rsidP="00AB7E5D">
      <w:pPr>
        <w:jc w:val="both"/>
        <w:rPr>
          <w:sz w:val="18"/>
          <w:szCs w:val="18"/>
        </w:rPr>
      </w:pPr>
      <w:r w:rsidRPr="00A92C25">
        <w:rPr>
          <w:sz w:val="18"/>
          <w:szCs w:val="18"/>
        </w:rPr>
        <w:t>Filtering steps applied:</w:t>
      </w:r>
    </w:p>
    <w:p w14:paraId="3890BC66" w14:textId="6CBAFD11" w:rsidR="001473F9" w:rsidRPr="00A92C25" w:rsidRDefault="001473F9" w:rsidP="00AB7E5D">
      <w:pPr>
        <w:pStyle w:val="NoSpacing"/>
        <w:numPr>
          <w:ilvl w:val="0"/>
          <w:numId w:val="3"/>
        </w:numPr>
        <w:jc w:val="both"/>
        <w:rPr>
          <w:sz w:val="18"/>
          <w:szCs w:val="18"/>
        </w:rPr>
      </w:pPr>
      <w:r w:rsidRPr="00A92C25">
        <w:rPr>
          <w:sz w:val="18"/>
          <w:szCs w:val="18"/>
        </w:rPr>
        <w:t>Only films labeled with the Horror genre were retained</w:t>
      </w:r>
      <w:r w:rsidR="00AB7E5D" w:rsidRPr="00A92C25">
        <w:rPr>
          <w:sz w:val="18"/>
          <w:szCs w:val="18"/>
        </w:rPr>
        <w:t>.</w:t>
      </w:r>
    </w:p>
    <w:p w14:paraId="6BC08EB8" w14:textId="3954B101" w:rsidR="00D94ACC" w:rsidRPr="00A92C25" w:rsidRDefault="001473F9" w:rsidP="00FB0FAB">
      <w:pPr>
        <w:pStyle w:val="NoSpacing"/>
        <w:numPr>
          <w:ilvl w:val="0"/>
          <w:numId w:val="3"/>
        </w:numPr>
        <w:jc w:val="both"/>
        <w:rPr>
          <w:sz w:val="18"/>
          <w:szCs w:val="18"/>
        </w:rPr>
      </w:pPr>
      <w:r w:rsidRPr="00A92C25">
        <w:rPr>
          <w:sz w:val="18"/>
          <w:szCs w:val="18"/>
        </w:rPr>
        <w:t>Only films released after 1975 were kept ensuring comparability of modern descriptions</w:t>
      </w:r>
      <w:r w:rsidR="00AB7E5D" w:rsidRPr="00A92C25">
        <w:rPr>
          <w:sz w:val="18"/>
          <w:szCs w:val="18"/>
        </w:rPr>
        <w:t>. The year 1975 was selected because it marks the beginning of the modern blockbuster era, allowing comparison between films produced under similar industrial conditions.</w:t>
      </w:r>
    </w:p>
    <w:p w14:paraId="78FA699C" w14:textId="49208D1A" w:rsidR="001473F9" w:rsidRPr="00A92C25" w:rsidRDefault="001473F9" w:rsidP="00AB7E5D">
      <w:pPr>
        <w:jc w:val="both"/>
        <w:rPr>
          <w:sz w:val="18"/>
          <w:szCs w:val="18"/>
        </w:rPr>
      </w:pPr>
      <w:r w:rsidRPr="00A92C25">
        <w:rPr>
          <w:sz w:val="18"/>
          <w:szCs w:val="18"/>
        </w:rPr>
        <w:t>Films were divided by budget percentile:</w:t>
      </w:r>
    </w:p>
    <w:p w14:paraId="0EC70B25" w14:textId="33056A25" w:rsidR="001473F9" w:rsidRPr="00A92C25" w:rsidRDefault="00D94ACC" w:rsidP="00AB7E5D">
      <w:pPr>
        <w:pStyle w:val="NoSpacing"/>
        <w:numPr>
          <w:ilvl w:val="0"/>
          <w:numId w:val="5"/>
        </w:numPr>
        <w:jc w:val="both"/>
        <w:rPr>
          <w:sz w:val="18"/>
          <w:szCs w:val="18"/>
        </w:rPr>
      </w:pPr>
      <w:r w:rsidRPr="00A92C25">
        <w:rPr>
          <w:sz w:val="18"/>
          <w:szCs w:val="18"/>
        </w:rPr>
        <w:t>Low budget</w:t>
      </w:r>
      <w:r w:rsidR="001473F9" w:rsidRPr="00A92C25">
        <w:rPr>
          <w:sz w:val="18"/>
          <w:szCs w:val="18"/>
        </w:rPr>
        <w:t>: ≤ 20th percentile</w:t>
      </w:r>
    </w:p>
    <w:p w14:paraId="7BE3175B" w14:textId="1C53F3AD" w:rsidR="007245A1" w:rsidRPr="00A92C25" w:rsidRDefault="00D94ACC" w:rsidP="00AB7E5D">
      <w:pPr>
        <w:pStyle w:val="NoSpacing"/>
        <w:numPr>
          <w:ilvl w:val="0"/>
          <w:numId w:val="5"/>
        </w:numPr>
        <w:jc w:val="both"/>
        <w:rPr>
          <w:b/>
          <w:bCs/>
          <w:sz w:val="18"/>
          <w:szCs w:val="18"/>
        </w:rPr>
      </w:pPr>
      <w:r w:rsidRPr="00A92C25">
        <w:rPr>
          <w:sz w:val="18"/>
          <w:szCs w:val="18"/>
        </w:rPr>
        <w:t>High budget</w:t>
      </w:r>
      <w:r w:rsidR="001473F9" w:rsidRPr="00A92C25">
        <w:rPr>
          <w:sz w:val="18"/>
          <w:szCs w:val="18"/>
        </w:rPr>
        <w:t>: ≥ 80th percentile</w:t>
      </w:r>
    </w:p>
    <w:p w14:paraId="69790588" w14:textId="77777777" w:rsidR="00AB7E5D" w:rsidRPr="00A92C25" w:rsidRDefault="00AB7E5D" w:rsidP="007245A1">
      <w:pPr>
        <w:pStyle w:val="Heading1"/>
        <w:rPr>
          <w:b w:val="0"/>
          <w:bCs w:val="0"/>
          <w:color w:val="auto"/>
        </w:rPr>
      </w:pPr>
      <w:r w:rsidRPr="00A92C25">
        <w:rPr>
          <w:b w:val="0"/>
          <w:bCs w:val="0"/>
          <w:color w:val="auto"/>
        </w:rPr>
        <w:t>The overview field is particularly suitable for text mining because it is a standardized short-form narrative description written to summarize the story and attract viewers, making it comparable across films and appropriate for thematic analysis.</w:t>
      </w:r>
    </w:p>
    <w:p w14:paraId="4DF4C6A5" w14:textId="4D8103BB" w:rsidR="00916813" w:rsidRPr="00A92C25" w:rsidRDefault="001473F9" w:rsidP="007245A1">
      <w:pPr>
        <w:pStyle w:val="Heading1"/>
      </w:pPr>
      <w:r w:rsidRPr="00A92C25">
        <w:t>TEXT PREPROCESSING</w:t>
      </w:r>
    </w:p>
    <w:p w14:paraId="4070F512" w14:textId="77777777" w:rsidR="00D620DF" w:rsidRPr="00A92C25" w:rsidRDefault="00D620DF" w:rsidP="00D620DF">
      <w:pPr>
        <w:spacing w:after="90"/>
        <w:jc w:val="both"/>
        <w:rPr>
          <w:sz w:val="18"/>
          <w:szCs w:val="18"/>
        </w:rPr>
      </w:pPr>
      <w:r w:rsidRPr="00A92C25">
        <w:rPr>
          <w:sz w:val="18"/>
          <w:szCs w:val="18"/>
        </w:rPr>
        <w:t>Without preprocessing, high-frequency grammatical words and inflected word forms would dominate token counts and obscure meaningful thematic patterns. The cleaning and normalization steps therefore aim to reduce linguistic noise and ensure that frequency distributions reflect narrative content rather than writing style.</w:t>
      </w:r>
    </w:p>
    <w:p w14:paraId="48769B8A" w14:textId="38AD0223" w:rsidR="00D620DF" w:rsidRPr="00A92C25" w:rsidRDefault="00D620DF" w:rsidP="00D620DF">
      <w:pPr>
        <w:spacing w:after="90"/>
        <w:jc w:val="both"/>
        <w:rPr>
          <w:sz w:val="18"/>
          <w:szCs w:val="18"/>
        </w:rPr>
      </w:pPr>
      <w:r w:rsidRPr="00A92C25">
        <w:rPr>
          <w:sz w:val="18"/>
          <w:szCs w:val="18"/>
        </w:rPr>
        <w:t>An 8-step preprocessing was applied: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2080"/>
        <w:gridCol w:w="7446"/>
      </w:tblGrid>
      <w:tr w:rsidR="00916813" w:rsidRPr="00A92C25" w14:paraId="54D66638" w14:textId="77777777">
        <w:trPr>
          <w:tblHeader/>
        </w:trPr>
        <w:tc>
          <w:tcPr>
            <w:tcW w:w="380" w:type="dxa"/>
            <w:tcBorders>
              <w:top w:val="none" w:sz="0" w:space="0" w:color="FFFFFF"/>
              <w:left w:val="none" w:sz="0" w:space="0" w:color="FFFFFF"/>
              <w:bottom w:val="single" w:sz="2" w:space="0" w:color="FFFFFF"/>
              <w:right w:val="single" w:sz="2" w:space="0" w:color="FFFFFF"/>
            </w:tcBorders>
            <w:shd w:val="clear" w:color="auto" w:fill="1B2A4A"/>
            <w:tcMar>
              <w:top w:w="72" w:type="dxa"/>
              <w:left w:w="130" w:type="dxa"/>
              <w:bottom w:w="72" w:type="dxa"/>
              <w:right w:w="130" w:type="dxa"/>
            </w:tcMar>
          </w:tcPr>
          <w:p w14:paraId="32A73451" w14:textId="77777777" w:rsidR="00916813" w:rsidRPr="00A92C25" w:rsidRDefault="00234F49" w:rsidP="007245A1">
            <w:pPr>
              <w:jc w:val="both"/>
              <w:rPr>
                <w:sz w:val="18"/>
                <w:szCs w:val="18"/>
              </w:rPr>
            </w:pPr>
            <w:r w:rsidRPr="00A92C25">
              <w:rPr>
                <w:b/>
                <w:bCs/>
                <w:color w:val="FFFFFF"/>
                <w:sz w:val="18"/>
                <w:szCs w:val="18"/>
              </w:rPr>
              <w:t>#</w:t>
            </w:r>
          </w:p>
        </w:tc>
        <w:tc>
          <w:tcPr>
            <w:tcW w:w="2080" w:type="dxa"/>
            <w:tcBorders>
              <w:top w:val="none" w:sz="0" w:space="0" w:color="FFFFFF"/>
              <w:left w:val="none" w:sz="0" w:space="0" w:color="FFFFFF"/>
              <w:bottom w:val="single" w:sz="2" w:space="0" w:color="FFFFFF"/>
              <w:right w:val="single" w:sz="2" w:space="0" w:color="FFFFFF"/>
            </w:tcBorders>
            <w:shd w:val="clear" w:color="auto" w:fill="1B2A4A"/>
            <w:tcMar>
              <w:top w:w="72" w:type="dxa"/>
              <w:left w:w="130" w:type="dxa"/>
              <w:bottom w:w="72" w:type="dxa"/>
              <w:right w:w="130" w:type="dxa"/>
            </w:tcMar>
          </w:tcPr>
          <w:p w14:paraId="538EE8D5" w14:textId="77777777" w:rsidR="00916813" w:rsidRPr="00A92C25" w:rsidRDefault="00234F49" w:rsidP="007245A1">
            <w:pPr>
              <w:jc w:val="both"/>
              <w:rPr>
                <w:b/>
                <w:bCs/>
                <w:sz w:val="18"/>
                <w:szCs w:val="18"/>
              </w:rPr>
            </w:pPr>
            <w:r w:rsidRPr="00A92C25">
              <w:rPr>
                <w:b/>
                <w:bCs/>
                <w:color w:val="FFFFFF"/>
                <w:sz w:val="18"/>
                <w:szCs w:val="18"/>
              </w:rPr>
              <w:t>Step</w:t>
            </w:r>
          </w:p>
        </w:tc>
        <w:tc>
          <w:tcPr>
            <w:tcW w:w="7446" w:type="dxa"/>
            <w:tcBorders>
              <w:top w:val="none" w:sz="0" w:space="0" w:color="FFFFFF"/>
              <w:left w:val="none" w:sz="0" w:space="0" w:color="FFFFFF"/>
              <w:bottom w:val="single" w:sz="2" w:space="0" w:color="FFFFFF"/>
              <w:right w:val="none" w:sz="0" w:space="0" w:color="FFFFFF"/>
            </w:tcBorders>
            <w:shd w:val="clear" w:color="auto" w:fill="1B2A4A"/>
            <w:tcMar>
              <w:top w:w="72" w:type="dxa"/>
              <w:left w:w="130" w:type="dxa"/>
              <w:bottom w:w="72" w:type="dxa"/>
              <w:right w:w="130" w:type="dxa"/>
            </w:tcMar>
          </w:tcPr>
          <w:p w14:paraId="2C871251" w14:textId="77777777" w:rsidR="00916813" w:rsidRPr="00A92C25" w:rsidRDefault="00234F49" w:rsidP="007245A1">
            <w:pPr>
              <w:jc w:val="both"/>
              <w:rPr>
                <w:sz w:val="18"/>
                <w:szCs w:val="18"/>
              </w:rPr>
            </w:pPr>
            <w:r w:rsidRPr="00A92C25">
              <w:rPr>
                <w:b/>
                <w:bCs/>
                <w:color w:val="FFFFFF"/>
                <w:sz w:val="18"/>
                <w:szCs w:val="18"/>
              </w:rPr>
              <w:t>Purpose / Rationale</w:t>
            </w:r>
          </w:p>
        </w:tc>
      </w:tr>
      <w:tr w:rsidR="00916813" w:rsidRPr="00A92C25" w14:paraId="3352177D" w14:textId="77777777">
        <w:tc>
          <w:tcPr>
            <w:tcW w:w="380" w:type="dxa"/>
            <w:tcBorders>
              <w:bottom w:val="single" w:sz="2" w:space="0" w:color="C8D3DF"/>
              <w:right w:val="single" w:sz="2" w:space="0" w:color="C8D3DF"/>
            </w:tcBorders>
            <w:shd w:val="clear" w:color="auto" w:fill="E0E7F0"/>
            <w:tcMar>
              <w:top w:w="60" w:type="dxa"/>
              <w:left w:w="100" w:type="dxa"/>
              <w:bottom w:w="60" w:type="dxa"/>
              <w:right w:w="100" w:type="dxa"/>
            </w:tcMar>
          </w:tcPr>
          <w:p w14:paraId="401C6668" w14:textId="77777777" w:rsidR="00916813" w:rsidRPr="00A92C25" w:rsidRDefault="00234F49" w:rsidP="007245A1">
            <w:pPr>
              <w:jc w:val="both"/>
              <w:rPr>
                <w:sz w:val="18"/>
                <w:szCs w:val="18"/>
              </w:rPr>
            </w:pPr>
            <w:r w:rsidRPr="00A92C25">
              <w:rPr>
                <w:b/>
                <w:bCs/>
                <w:color w:val="B03A2E"/>
                <w:sz w:val="18"/>
                <w:szCs w:val="18"/>
              </w:rPr>
              <w:t>1</w:t>
            </w:r>
          </w:p>
        </w:tc>
        <w:tc>
          <w:tcPr>
            <w:tcW w:w="2080" w:type="dxa"/>
            <w:tcBorders>
              <w:bottom w:val="single" w:sz="2" w:space="0" w:color="C8D3DF"/>
              <w:right w:val="single" w:sz="2" w:space="0" w:color="C8D3DF"/>
            </w:tcBorders>
            <w:shd w:val="clear" w:color="auto" w:fill="E0E7F0"/>
            <w:tcMar>
              <w:top w:w="60" w:type="dxa"/>
              <w:left w:w="130" w:type="dxa"/>
              <w:bottom w:w="60" w:type="dxa"/>
              <w:right w:w="130" w:type="dxa"/>
            </w:tcMar>
          </w:tcPr>
          <w:p w14:paraId="1C918B7C" w14:textId="77777777" w:rsidR="00916813" w:rsidRPr="00A92C25" w:rsidRDefault="00234F49" w:rsidP="007245A1">
            <w:pPr>
              <w:jc w:val="both"/>
              <w:rPr>
                <w:b/>
                <w:bCs/>
                <w:sz w:val="18"/>
                <w:szCs w:val="18"/>
              </w:rPr>
            </w:pPr>
            <w:r w:rsidRPr="00A92C25">
              <w:rPr>
                <w:b/>
                <w:bCs/>
                <w:color w:val="1B2A4A"/>
                <w:sz w:val="18"/>
                <w:szCs w:val="18"/>
              </w:rPr>
              <w:t>Lowercasing</w:t>
            </w:r>
          </w:p>
        </w:tc>
        <w:tc>
          <w:tcPr>
            <w:tcW w:w="7446" w:type="dxa"/>
            <w:tcBorders>
              <w:bottom w:val="single" w:sz="2" w:space="0" w:color="C8D3DF"/>
            </w:tcBorders>
            <w:shd w:val="clear" w:color="auto" w:fill="E0E7F0"/>
            <w:tcMar>
              <w:top w:w="60" w:type="dxa"/>
              <w:left w:w="130" w:type="dxa"/>
              <w:bottom w:w="60" w:type="dxa"/>
              <w:right w:w="130" w:type="dxa"/>
            </w:tcMar>
          </w:tcPr>
          <w:p w14:paraId="16A0D683" w14:textId="34F5DDB7" w:rsidR="00916813" w:rsidRPr="00A92C25" w:rsidRDefault="00D94ACC" w:rsidP="007245A1">
            <w:pPr>
              <w:jc w:val="both"/>
              <w:rPr>
                <w:sz w:val="18"/>
                <w:szCs w:val="18"/>
              </w:rPr>
            </w:pPr>
            <w:r w:rsidRPr="00A92C25">
              <w:rPr>
                <w:color w:val="333333"/>
                <w:sz w:val="18"/>
                <w:szCs w:val="18"/>
              </w:rPr>
              <w:t>All text was converted to lowercase to ensure that words such as Ghost and ghost are treated as the same token.</w:t>
            </w:r>
          </w:p>
        </w:tc>
      </w:tr>
      <w:tr w:rsidR="00916813" w:rsidRPr="00A92C25" w14:paraId="15B3595A" w14:textId="77777777">
        <w:tc>
          <w:tcPr>
            <w:tcW w:w="380" w:type="dxa"/>
            <w:tcBorders>
              <w:bottom w:val="single" w:sz="2" w:space="0" w:color="C8D3DF"/>
              <w:right w:val="single" w:sz="2" w:space="0" w:color="C8D3DF"/>
            </w:tcBorders>
            <w:shd w:val="clear" w:color="auto" w:fill="FFFFFF"/>
            <w:tcMar>
              <w:top w:w="60" w:type="dxa"/>
              <w:left w:w="100" w:type="dxa"/>
              <w:bottom w:w="60" w:type="dxa"/>
              <w:right w:w="100" w:type="dxa"/>
            </w:tcMar>
          </w:tcPr>
          <w:p w14:paraId="6F5BDD37" w14:textId="77777777" w:rsidR="00916813" w:rsidRPr="00A92C25" w:rsidRDefault="00234F49" w:rsidP="007245A1">
            <w:pPr>
              <w:jc w:val="both"/>
              <w:rPr>
                <w:sz w:val="18"/>
                <w:szCs w:val="18"/>
              </w:rPr>
            </w:pPr>
            <w:r w:rsidRPr="00A92C25">
              <w:rPr>
                <w:b/>
                <w:bCs/>
                <w:color w:val="B03A2E"/>
                <w:sz w:val="18"/>
                <w:szCs w:val="18"/>
              </w:rPr>
              <w:t>2</w:t>
            </w:r>
          </w:p>
        </w:tc>
        <w:tc>
          <w:tcPr>
            <w:tcW w:w="2080" w:type="dxa"/>
            <w:tcBorders>
              <w:bottom w:val="single" w:sz="2" w:space="0" w:color="C8D3DF"/>
              <w:right w:val="single" w:sz="2" w:space="0" w:color="C8D3DF"/>
            </w:tcBorders>
            <w:shd w:val="clear" w:color="auto" w:fill="FFFFFF"/>
            <w:tcMar>
              <w:top w:w="60" w:type="dxa"/>
              <w:left w:w="130" w:type="dxa"/>
              <w:bottom w:w="60" w:type="dxa"/>
              <w:right w:w="130" w:type="dxa"/>
            </w:tcMar>
          </w:tcPr>
          <w:p w14:paraId="324279C6" w14:textId="77777777" w:rsidR="00916813" w:rsidRPr="00A92C25" w:rsidRDefault="00234F49" w:rsidP="007245A1">
            <w:pPr>
              <w:jc w:val="both"/>
              <w:rPr>
                <w:b/>
                <w:bCs/>
                <w:sz w:val="18"/>
                <w:szCs w:val="18"/>
              </w:rPr>
            </w:pPr>
            <w:r w:rsidRPr="00A92C25">
              <w:rPr>
                <w:b/>
                <w:bCs/>
                <w:color w:val="1B2A4A"/>
                <w:sz w:val="18"/>
                <w:szCs w:val="18"/>
              </w:rPr>
              <w:t>Noise Removal</w:t>
            </w:r>
          </w:p>
        </w:tc>
        <w:tc>
          <w:tcPr>
            <w:tcW w:w="7446" w:type="dxa"/>
            <w:tcBorders>
              <w:bottom w:val="single" w:sz="2" w:space="0" w:color="C8D3DF"/>
            </w:tcBorders>
            <w:shd w:val="clear" w:color="auto" w:fill="FFFFFF"/>
            <w:tcMar>
              <w:top w:w="60" w:type="dxa"/>
              <w:left w:w="130" w:type="dxa"/>
              <w:bottom w:w="60" w:type="dxa"/>
              <w:right w:w="130" w:type="dxa"/>
            </w:tcMar>
          </w:tcPr>
          <w:p w14:paraId="3B465EE5" w14:textId="19EEE99F" w:rsidR="00916813" w:rsidRPr="00A92C25" w:rsidRDefault="00D94ACC" w:rsidP="007245A1">
            <w:pPr>
              <w:jc w:val="both"/>
              <w:rPr>
                <w:sz w:val="18"/>
                <w:szCs w:val="18"/>
              </w:rPr>
            </w:pPr>
            <w:r w:rsidRPr="00A92C25">
              <w:rPr>
                <w:color w:val="333333"/>
                <w:sz w:val="18"/>
                <w:szCs w:val="18"/>
              </w:rPr>
              <w:t>Regular expressions removed URLs, punctuation, numbers, and special characters:</w:t>
            </w:r>
          </w:p>
        </w:tc>
      </w:tr>
      <w:tr w:rsidR="00916813" w:rsidRPr="00A92C25" w14:paraId="42111030" w14:textId="77777777">
        <w:tc>
          <w:tcPr>
            <w:tcW w:w="380" w:type="dxa"/>
            <w:tcBorders>
              <w:bottom w:val="single" w:sz="2" w:space="0" w:color="C8D3DF"/>
              <w:right w:val="single" w:sz="2" w:space="0" w:color="C8D3DF"/>
            </w:tcBorders>
            <w:shd w:val="clear" w:color="auto" w:fill="E0E7F0"/>
            <w:tcMar>
              <w:top w:w="60" w:type="dxa"/>
              <w:left w:w="100" w:type="dxa"/>
              <w:bottom w:w="60" w:type="dxa"/>
              <w:right w:w="100" w:type="dxa"/>
            </w:tcMar>
          </w:tcPr>
          <w:p w14:paraId="1C77833A" w14:textId="77777777" w:rsidR="00916813" w:rsidRPr="00A92C25" w:rsidRDefault="00234F49" w:rsidP="007245A1">
            <w:pPr>
              <w:jc w:val="both"/>
              <w:rPr>
                <w:sz w:val="18"/>
                <w:szCs w:val="18"/>
              </w:rPr>
            </w:pPr>
            <w:r w:rsidRPr="00A92C25">
              <w:rPr>
                <w:b/>
                <w:bCs/>
                <w:color w:val="B03A2E"/>
                <w:sz w:val="18"/>
                <w:szCs w:val="18"/>
              </w:rPr>
              <w:t>3</w:t>
            </w:r>
          </w:p>
        </w:tc>
        <w:tc>
          <w:tcPr>
            <w:tcW w:w="2080" w:type="dxa"/>
            <w:tcBorders>
              <w:bottom w:val="single" w:sz="2" w:space="0" w:color="C8D3DF"/>
              <w:right w:val="single" w:sz="2" w:space="0" w:color="C8D3DF"/>
            </w:tcBorders>
            <w:shd w:val="clear" w:color="auto" w:fill="E0E7F0"/>
            <w:tcMar>
              <w:top w:w="60" w:type="dxa"/>
              <w:left w:w="130" w:type="dxa"/>
              <w:bottom w:w="60" w:type="dxa"/>
              <w:right w:w="130" w:type="dxa"/>
            </w:tcMar>
          </w:tcPr>
          <w:p w14:paraId="2FF1FE05" w14:textId="77777777" w:rsidR="00916813" w:rsidRPr="00A92C25" w:rsidRDefault="00234F49" w:rsidP="007245A1">
            <w:pPr>
              <w:jc w:val="both"/>
              <w:rPr>
                <w:b/>
                <w:bCs/>
                <w:sz w:val="18"/>
                <w:szCs w:val="18"/>
              </w:rPr>
            </w:pPr>
            <w:r w:rsidRPr="00A92C25">
              <w:rPr>
                <w:b/>
                <w:bCs/>
                <w:color w:val="1B2A4A"/>
                <w:sz w:val="18"/>
                <w:szCs w:val="18"/>
              </w:rPr>
              <w:t>Tokenization</w:t>
            </w:r>
          </w:p>
        </w:tc>
        <w:tc>
          <w:tcPr>
            <w:tcW w:w="7446" w:type="dxa"/>
            <w:tcBorders>
              <w:bottom w:val="single" w:sz="2" w:space="0" w:color="C8D3DF"/>
            </w:tcBorders>
            <w:shd w:val="clear" w:color="auto" w:fill="E0E7F0"/>
            <w:tcMar>
              <w:top w:w="60" w:type="dxa"/>
              <w:left w:w="130" w:type="dxa"/>
              <w:bottom w:w="60" w:type="dxa"/>
              <w:right w:w="130" w:type="dxa"/>
            </w:tcMar>
          </w:tcPr>
          <w:p w14:paraId="71AAD743" w14:textId="516D9563" w:rsidR="00916813" w:rsidRPr="00A92C25" w:rsidRDefault="00D94ACC" w:rsidP="007245A1">
            <w:pPr>
              <w:jc w:val="both"/>
              <w:rPr>
                <w:sz w:val="18"/>
                <w:szCs w:val="18"/>
              </w:rPr>
            </w:pPr>
            <w:r w:rsidRPr="00A92C25">
              <w:rPr>
                <w:color w:val="333333"/>
                <w:sz w:val="18"/>
                <w:szCs w:val="18"/>
              </w:rPr>
              <w:t xml:space="preserve">The cleaned text was split into words using NLTK’s </w:t>
            </w:r>
            <w:proofErr w:type="spellStart"/>
            <w:r w:rsidRPr="00A92C25">
              <w:rPr>
                <w:color w:val="333333"/>
                <w:sz w:val="18"/>
                <w:szCs w:val="18"/>
              </w:rPr>
              <w:t>word_tokenize</w:t>
            </w:r>
            <w:proofErr w:type="spellEnd"/>
            <w:r w:rsidRPr="00A92C25">
              <w:rPr>
                <w:color w:val="333333"/>
                <w:sz w:val="18"/>
                <w:szCs w:val="18"/>
              </w:rPr>
              <w:t>, converting each description into a list of tokens.</w:t>
            </w:r>
          </w:p>
        </w:tc>
      </w:tr>
      <w:tr w:rsidR="00916813" w:rsidRPr="00A92C25" w14:paraId="1AD7BE6C" w14:textId="77777777">
        <w:tc>
          <w:tcPr>
            <w:tcW w:w="380" w:type="dxa"/>
            <w:tcBorders>
              <w:bottom w:val="single" w:sz="2" w:space="0" w:color="C8D3DF"/>
              <w:right w:val="single" w:sz="2" w:space="0" w:color="C8D3DF"/>
            </w:tcBorders>
            <w:shd w:val="clear" w:color="auto" w:fill="FFFFFF"/>
            <w:tcMar>
              <w:top w:w="60" w:type="dxa"/>
              <w:left w:w="100" w:type="dxa"/>
              <w:bottom w:w="60" w:type="dxa"/>
              <w:right w:w="100" w:type="dxa"/>
            </w:tcMar>
          </w:tcPr>
          <w:p w14:paraId="23A6DC2D" w14:textId="77777777" w:rsidR="00916813" w:rsidRPr="00A92C25" w:rsidRDefault="00234F49" w:rsidP="007245A1">
            <w:pPr>
              <w:jc w:val="both"/>
              <w:rPr>
                <w:sz w:val="18"/>
                <w:szCs w:val="18"/>
              </w:rPr>
            </w:pPr>
            <w:r w:rsidRPr="00A92C25">
              <w:rPr>
                <w:b/>
                <w:bCs/>
                <w:color w:val="B03A2E"/>
                <w:sz w:val="18"/>
                <w:szCs w:val="18"/>
              </w:rPr>
              <w:t>4</w:t>
            </w:r>
          </w:p>
        </w:tc>
        <w:tc>
          <w:tcPr>
            <w:tcW w:w="2080" w:type="dxa"/>
            <w:tcBorders>
              <w:bottom w:val="single" w:sz="2" w:space="0" w:color="C8D3DF"/>
              <w:right w:val="single" w:sz="2" w:space="0" w:color="C8D3DF"/>
            </w:tcBorders>
            <w:shd w:val="clear" w:color="auto" w:fill="FFFFFF"/>
            <w:tcMar>
              <w:top w:w="60" w:type="dxa"/>
              <w:left w:w="130" w:type="dxa"/>
              <w:bottom w:w="60" w:type="dxa"/>
              <w:right w:w="130" w:type="dxa"/>
            </w:tcMar>
          </w:tcPr>
          <w:p w14:paraId="535982E9" w14:textId="77777777" w:rsidR="00916813" w:rsidRPr="00A92C25" w:rsidRDefault="00234F49" w:rsidP="007245A1">
            <w:pPr>
              <w:jc w:val="both"/>
              <w:rPr>
                <w:b/>
                <w:bCs/>
                <w:sz w:val="18"/>
                <w:szCs w:val="18"/>
              </w:rPr>
            </w:pPr>
            <w:proofErr w:type="spellStart"/>
            <w:r w:rsidRPr="00A92C25">
              <w:rPr>
                <w:b/>
                <w:bCs/>
                <w:color w:val="1B2A4A"/>
                <w:sz w:val="18"/>
                <w:szCs w:val="18"/>
              </w:rPr>
              <w:t>Stopword</w:t>
            </w:r>
            <w:proofErr w:type="spellEnd"/>
            <w:r w:rsidRPr="00A92C25">
              <w:rPr>
                <w:b/>
                <w:bCs/>
                <w:color w:val="1B2A4A"/>
                <w:sz w:val="18"/>
                <w:szCs w:val="18"/>
              </w:rPr>
              <w:t xml:space="preserve"> Removal</w:t>
            </w:r>
          </w:p>
        </w:tc>
        <w:tc>
          <w:tcPr>
            <w:tcW w:w="7446" w:type="dxa"/>
            <w:tcBorders>
              <w:bottom w:val="single" w:sz="2" w:space="0" w:color="C8D3DF"/>
            </w:tcBorders>
            <w:shd w:val="clear" w:color="auto" w:fill="FFFFFF"/>
            <w:tcMar>
              <w:top w:w="60" w:type="dxa"/>
              <w:left w:w="130" w:type="dxa"/>
              <w:bottom w:w="60" w:type="dxa"/>
              <w:right w:w="130" w:type="dxa"/>
            </w:tcMar>
          </w:tcPr>
          <w:p w14:paraId="2C00194F" w14:textId="31ACCAAA" w:rsidR="00916813" w:rsidRPr="00A92C25" w:rsidRDefault="00D94ACC" w:rsidP="007245A1">
            <w:pPr>
              <w:jc w:val="both"/>
              <w:rPr>
                <w:sz w:val="18"/>
                <w:szCs w:val="18"/>
              </w:rPr>
            </w:pPr>
            <w:r w:rsidRPr="00A92C25">
              <w:rPr>
                <w:color w:val="333333"/>
                <w:sz w:val="18"/>
                <w:szCs w:val="18"/>
              </w:rPr>
              <w:t xml:space="preserve">English </w:t>
            </w:r>
            <w:proofErr w:type="spellStart"/>
            <w:r w:rsidRPr="00A92C25">
              <w:rPr>
                <w:color w:val="333333"/>
                <w:sz w:val="18"/>
                <w:szCs w:val="18"/>
              </w:rPr>
              <w:t>stopwords</w:t>
            </w:r>
            <w:proofErr w:type="spellEnd"/>
            <w:r w:rsidRPr="00A92C25">
              <w:rPr>
                <w:color w:val="333333"/>
                <w:sz w:val="18"/>
                <w:szCs w:val="18"/>
              </w:rPr>
              <w:t xml:space="preserve"> from NLTK were removed because they carry grammatical rather than semantic information and dominate frequency distributions.</w:t>
            </w:r>
          </w:p>
        </w:tc>
      </w:tr>
      <w:tr w:rsidR="00916813" w:rsidRPr="00A92C25" w14:paraId="4B872E4F" w14:textId="77777777">
        <w:tc>
          <w:tcPr>
            <w:tcW w:w="380" w:type="dxa"/>
            <w:tcBorders>
              <w:bottom w:val="single" w:sz="2" w:space="0" w:color="C8D3DF"/>
              <w:right w:val="single" w:sz="2" w:space="0" w:color="C8D3DF"/>
            </w:tcBorders>
            <w:shd w:val="clear" w:color="auto" w:fill="E0E7F0"/>
            <w:tcMar>
              <w:top w:w="60" w:type="dxa"/>
              <w:left w:w="100" w:type="dxa"/>
              <w:bottom w:w="60" w:type="dxa"/>
              <w:right w:w="100" w:type="dxa"/>
            </w:tcMar>
          </w:tcPr>
          <w:p w14:paraId="61B0FD17" w14:textId="77777777" w:rsidR="00916813" w:rsidRPr="00A92C25" w:rsidRDefault="00234F49" w:rsidP="007245A1">
            <w:pPr>
              <w:jc w:val="both"/>
              <w:rPr>
                <w:sz w:val="18"/>
                <w:szCs w:val="18"/>
              </w:rPr>
            </w:pPr>
            <w:r w:rsidRPr="00A92C25">
              <w:rPr>
                <w:b/>
                <w:bCs/>
                <w:color w:val="B03A2E"/>
                <w:sz w:val="18"/>
                <w:szCs w:val="18"/>
              </w:rPr>
              <w:t>5</w:t>
            </w:r>
          </w:p>
        </w:tc>
        <w:tc>
          <w:tcPr>
            <w:tcW w:w="2080" w:type="dxa"/>
            <w:tcBorders>
              <w:bottom w:val="single" w:sz="2" w:space="0" w:color="C8D3DF"/>
              <w:right w:val="single" w:sz="2" w:space="0" w:color="C8D3DF"/>
            </w:tcBorders>
            <w:shd w:val="clear" w:color="auto" w:fill="E0E7F0"/>
            <w:tcMar>
              <w:top w:w="60" w:type="dxa"/>
              <w:left w:w="130" w:type="dxa"/>
              <w:bottom w:w="60" w:type="dxa"/>
              <w:right w:w="130" w:type="dxa"/>
            </w:tcMar>
          </w:tcPr>
          <w:p w14:paraId="5DEA3C9C" w14:textId="77777777" w:rsidR="00916813" w:rsidRPr="00A92C25" w:rsidRDefault="00234F49" w:rsidP="007245A1">
            <w:pPr>
              <w:jc w:val="both"/>
              <w:rPr>
                <w:b/>
                <w:bCs/>
                <w:sz w:val="18"/>
                <w:szCs w:val="18"/>
              </w:rPr>
            </w:pPr>
            <w:r w:rsidRPr="00A92C25">
              <w:rPr>
                <w:b/>
                <w:bCs/>
                <w:color w:val="1B2A4A"/>
                <w:sz w:val="18"/>
                <w:szCs w:val="18"/>
              </w:rPr>
              <w:t xml:space="preserve">Domain </w:t>
            </w:r>
            <w:proofErr w:type="spellStart"/>
            <w:r w:rsidRPr="00A92C25">
              <w:rPr>
                <w:b/>
                <w:bCs/>
                <w:color w:val="1B2A4A"/>
                <w:sz w:val="18"/>
                <w:szCs w:val="18"/>
              </w:rPr>
              <w:t>Stopwords</w:t>
            </w:r>
            <w:proofErr w:type="spellEnd"/>
          </w:p>
        </w:tc>
        <w:tc>
          <w:tcPr>
            <w:tcW w:w="7446" w:type="dxa"/>
            <w:tcBorders>
              <w:bottom w:val="single" w:sz="2" w:space="0" w:color="C8D3DF"/>
            </w:tcBorders>
            <w:shd w:val="clear" w:color="auto" w:fill="E0E7F0"/>
            <w:tcMar>
              <w:top w:w="60" w:type="dxa"/>
              <w:left w:w="130" w:type="dxa"/>
              <w:bottom w:w="60" w:type="dxa"/>
              <w:right w:w="130" w:type="dxa"/>
            </w:tcMar>
          </w:tcPr>
          <w:p w14:paraId="7E242407" w14:textId="5C098691" w:rsidR="00916813" w:rsidRPr="00A92C25" w:rsidRDefault="00AB7E5D" w:rsidP="007245A1">
            <w:pPr>
              <w:jc w:val="both"/>
              <w:rPr>
                <w:sz w:val="18"/>
                <w:szCs w:val="18"/>
              </w:rPr>
            </w:pPr>
            <w:r w:rsidRPr="00A92C25">
              <w:rPr>
                <w:color w:val="333333"/>
                <w:sz w:val="18"/>
                <w:szCs w:val="18"/>
              </w:rPr>
              <w:t xml:space="preserve">In addition to standard English </w:t>
            </w:r>
            <w:proofErr w:type="spellStart"/>
            <w:r w:rsidRPr="00A92C25">
              <w:rPr>
                <w:color w:val="333333"/>
                <w:sz w:val="18"/>
                <w:szCs w:val="18"/>
              </w:rPr>
              <w:t>stopwords</w:t>
            </w:r>
            <w:proofErr w:type="spellEnd"/>
            <w:r w:rsidRPr="00A92C25">
              <w:rPr>
                <w:color w:val="333333"/>
                <w:sz w:val="18"/>
                <w:szCs w:val="18"/>
              </w:rPr>
              <w:t xml:space="preserve">, a domain-specific </w:t>
            </w:r>
            <w:proofErr w:type="spellStart"/>
            <w:r w:rsidRPr="00A92C25">
              <w:rPr>
                <w:color w:val="333333"/>
                <w:sz w:val="18"/>
                <w:szCs w:val="18"/>
              </w:rPr>
              <w:t>stopword</w:t>
            </w:r>
            <w:proofErr w:type="spellEnd"/>
            <w:r w:rsidRPr="00A92C25">
              <w:rPr>
                <w:color w:val="333333"/>
                <w:sz w:val="18"/>
                <w:szCs w:val="18"/>
              </w:rPr>
              <w:t xml:space="preserve"> list was created containing generic movie-description terms (film, movie, story, year, man, woman). These words occur in nearly every overview and therefore add frequency bias without contributing to thematic differentiation.</w:t>
            </w:r>
          </w:p>
        </w:tc>
      </w:tr>
      <w:tr w:rsidR="00916813" w:rsidRPr="00A92C25" w14:paraId="36EB296C" w14:textId="77777777">
        <w:tc>
          <w:tcPr>
            <w:tcW w:w="380" w:type="dxa"/>
            <w:tcBorders>
              <w:bottom w:val="single" w:sz="2" w:space="0" w:color="C8D3DF"/>
              <w:right w:val="single" w:sz="2" w:space="0" w:color="C8D3DF"/>
            </w:tcBorders>
            <w:shd w:val="clear" w:color="auto" w:fill="FFFFFF"/>
            <w:tcMar>
              <w:top w:w="60" w:type="dxa"/>
              <w:left w:w="100" w:type="dxa"/>
              <w:bottom w:w="60" w:type="dxa"/>
              <w:right w:w="100" w:type="dxa"/>
            </w:tcMar>
          </w:tcPr>
          <w:p w14:paraId="1C0859A7" w14:textId="77777777" w:rsidR="00916813" w:rsidRPr="00A92C25" w:rsidRDefault="00234F49" w:rsidP="007245A1">
            <w:pPr>
              <w:jc w:val="both"/>
              <w:rPr>
                <w:sz w:val="18"/>
                <w:szCs w:val="18"/>
              </w:rPr>
            </w:pPr>
            <w:r w:rsidRPr="00A92C25">
              <w:rPr>
                <w:b/>
                <w:bCs/>
                <w:color w:val="B03A2E"/>
                <w:sz w:val="18"/>
                <w:szCs w:val="18"/>
              </w:rPr>
              <w:t>6</w:t>
            </w:r>
          </w:p>
        </w:tc>
        <w:tc>
          <w:tcPr>
            <w:tcW w:w="2080" w:type="dxa"/>
            <w:tcBorders>
              <w:bottom w:val="single" w:sz="2" w:space="0" w:color="C8D3DF"/>
              <w:right w:val="single" w:sz="2" w:space="0" w:color="C8D3DF"/>
            </w:tcBorders>
            <w:shd w:val="clear" w:color="auto" w:fill="FFFFFF"/>
            <w:tcMar>
              <w:top w:w="60" w:type="dxa"/>
              <w:left w:w="130" w:type="dxa"/>
              <w:bottom w:w="60" w:type="dxa"/>
              <w:right w:w="130" w:type="dxa"/>
            </w:tcMar>
          </w:tcPr>
          <w:p w14:paraId="0764240D" w14:textId="77777777" w:rsidR="00916813" w:rsidRPr="00A92C25" w:rsidRDefault="00234F49" w:rsidP="007245A1">
            <w:pPr>
              <w:jc w:val="both"/>
              <w:rPr>
                <w:b/>
                <w:bCs/>
                <w:sz w:val="18"/>
                <w:szCs w:val="18"/>
              </w:rPr>
            </w:pPr>
            <w:r w:rsidRPr="00A92C25">
              <w:rPr>
                <w:b/>
                <w:bCs/>
                <w:color w:val="1B2A4A"/>
                <w:sz w:val="18"/>
                <w:szCs w:val="18"/>
              </w:rPr>
              <w:t>Short Token Filter</w:t>
            </w:r>
          </w:p>
        </w:tc>
        <w:tc>
          <w:tcPr>
            <w:tcW w:w="7446" w:type="dxa"/>
            <w:tcBorders>
              <w:bottom w:val="single" w:sz="2" w:space="0" w:color="C8D3DF"/>
            </w:tcBorders>
            <w:shd w:val="clear" w:color="auto" w:fill="FFFFFF"/>
            <w:tcMar>
              <w:top w:w="60" w:type="dxa"/>
              <w:left w:w="130" w:type="dxa"/>
              <w:bottom w:w="60" w:type="dxa"/>
              <w:right w:w="130" w:type="dxa"/>
            </w:tcMar>
          </w:tcPr>
          <w:p w14:paraId="27C7CC08" w14:textId="4884DE8E" w:rsidR="00916813" w:rsidRPr="00A92C25" w:rsidRDefault="00D94ACC" w:rsidP="007245A1">
            <w:pPr>
              <w:jc w:val="both"/>
              <w:rPr>
                <w:sz w:val="18"/>
                <w:szCs w:val="18"/>
              </w:rPr>
            </w:pPr>
            <w:r w:rsidRPr="00A92C25">
              <w:rPr>
                <w:color w:val="333333"/>
                <w:sz w:val="18"/>
                <w:szCs w:val="18"/>
              </w:rPr>
              <w:t>Tokens shorter than three characters were removed to eliminate linguistic artifacts.</w:t>
            </w:r>
          </w:p>
        </w:tc>
      </w:tr>
      <w:tr w:rsidR="00916813" w:rsidRPr="00A92C25" w14:paraId="2EC2BDB2" w14:textId="77777777">
        <w:tc>
          <w:tcPr>
            <w:tcW w:w="380" w:type="dxa"/>
            <w:tcBorders>
              <w:bottom w:val="single" w:sz="2" w:space="0" w:color="C8D3DF"/>
              <w:right w:val="single" w:sz="2" w:space="0" w:color="C8D3DF"/>
            </w:tcBorders>
            <w:shd w:val="clear" w:color="auto" w:fill="E0E7F0"/>
            <w:tcMar>
              <w:top w:w="60" w:type="dxa"/>
              <w:left w:w="100" w:type="dxa"/>
              <w:bottom w:w="60" w:type="dxa"/>
              <w:right w:w="100" w:type="dxa"/>
            </w:tcMar>
          </w:tcPr>
          <w:p w14:paraId="76A0D7E4" w14:textId="77777777" w:rsidR="00916813" w:rsidRPr="00A92C25" w:rsidRDefault="00234F49" w:rsidP="007245A1">
            <w:pPr>
              <w:jc w:val="both"/>
              <w:rPr>
                <w:sz w:val="18"/>
                <w:szCs w:val="18"/>
              </w:rPr>
            </w:pPr>
            <w:r w:rsidRPr="00A92C25">
              <w:rPr>
                <w:b/>
                <w:bCs/>
                <w:color w:val="B03A2E"/>
                <w:sz w:val="18"/>
                <w:szCs w:val="18"/>
              </w:rPr>
              <w:t>7</w:t>
            </w:r>
          </w:p>
        </w:tc>
        <w:tc>
          <w:tcPr>
            <w:tcW w:w="2080" w:type="dxa"/>
            <w:tcBorders>
              <w:bottom w:val="single" w:sz="2" w:space="0" w:color="C8D3DF"/>
              <w:right w:val="single" w:sz="2" w:space="0" w:color="C8D3DF"/>
            </w:tcBorders>
            <w:shd w:val="clear" w:color="auto" w:fill="E0E7F0"/>
            <w:tcMar>
              <w:top w:w="60" w:type="dxa"/>
              <w:left w:w="130" w:type="dxa"/>
              <w:bottom w:w="60" w:type="dxa"/>
              <w:right w:w="130" w:type="dxa"/>
            </w:tcMar>
          </w:tcPr>
          <w:p w14:paraId="138746DC" w14:textId="77777777" w:rsidR="00916813" w:rsidRPr="00A92C25" w:rsidRDefault="00234F49" w:rsidP="007245A1">
            <w:pPr>
              <w:jc w:val="both"/>
              <w:rPr>
                <w:b/>
                <w:bCs/>
                <w:sz w:val="18"/>
                <w:szCs w:val="18"/>
              </w:rPr>
            </w:pPr>
            <w:r w:rsidRPr="00A92C25">
              <w:rPr>
                <w:b/>
                <w:bCs/>
                <w:color w:val="1B2A4A"/>
                <w:sz w:val="18"/>
                <w:szCs w:val="18"/>
              </w:rPr>
              <w:t>Lemmatization</w:t>
            </w:r>
          </w:p>
        </w:tc>
        <w:tc>
          <w:tcPr>
            <w:tcW w:w="7446" w:type="dxa"/>
            <w:tcBorders>
              <w:bottom w:val="single" w:sz="2" w:space="0" w:color="C8D3DF"/>
            </w:tcBorders>
            <w:shd w:val="clear" w:color="auto" w:fill="E0E7F0"/>
            <w:tcMar>
              <w:top w:w="60" w:type="dxa"/>
              <w:left w:w="130" w:type="dxa"/>
              <w:bottom w:w="60" w:type="dxa"/>
              <w:right w:w="130" w:type="dxa"/>
            </w:tcMar>
          </w:tcPr>
          <w:p w14:paraId="47B6114E" w14:textId="77777777" w:rsidR="00916813" w:rsidRPr="00A92C25" w:rsidRDefault="00234F49" w:rsidP="007245A1">
            <w:pPr>
              <w:jc w:val="both"/>
              <w:rPr>
                <w:sz w:val="18"/>
                <w:szCs w:val="18"/>
              </w:rPr>
            </w:pPr>
            <w:r w:rsidRPr="00A92C25">
              <w:rPr>
                <w:color w:val="333333"/>
                <w:sz w:val="18"/>
                <w:szCs w:val="18"/>
              </w:rPr>
              <w:t>Reduces tokens to their dictionary base form for consistency.</w:t>
            </w:r>
          </w:p>
        </w:tc>
      </w:tr>
      <w:tr w:rsidR="00916813" w:rsidRPr="00A92C25" w14:paraId="19C8268B" w14:textId="77777777">
        <w:tc>
          <w:tcPr>
            <w:tcW w:w="380" w:type="dxa"/>
            <w:tcBorders>
              <w:bottom w:val="single" w:sz="2" w:space="0" w:color="C8D3DF"/>
              <w:right w:val="single" w:sz="2" w:space="0" w:color="C8D3DF"/>
            </w:tcBorders>
            <w:shd w:val="clear" w:color="auto" w:fill="FFFFFF"/>
            <w:tcMar>
              <w:top w:w="60" w:type="dxa"/>
              <w:left w:w="100" w:type="dxa"/>
              <w:bottom w:w="60" w:type="dxa"/>
              <w:right w:w="100" w:type="dxa"/>
            </w:tcMar>
          </w:tcPr>
          <w:p w14:paraId="7FF41FC4" w14:textId="77777777" w:rsidR="00916813" w:rsidRPr="00A92C25" w:rsidRDefault="00234F49" w:rsidP="007245A1">
            <w:pPr>
              <w:jc w:val="both"/>
              <w:rPr>
                <w:sz w:val="18"/>
                <w:szCs w:val="18"/>
              </w:rPr>
            </w:pPr>
            <w:r w:rsidRPr="00A92C25">
              <w:rPr>
                <w:b/>
                <w:bCs/>
                <w:color w:val="B03A2E"/>
                <w:sz w:val="18"/>
                <w:szCs w:val="18"/>
              </w:rPr>
              <w:t>8</w:t>
            </w:r>
          </w:p>
        </w:tc>
        <w:tc>
          <w:tcPr>
            <w:tcW w:w="2080" w:type="dxa"/>
            <w:tcBorders>
              <w:bottom w:val="single" w:sz="2" w:space="0" w:color="C8D3DF"/>
              <w:right w:val="single" w:sz="2" w:space="0" w:color="C8D3DF"/>
            </w:tcBorders>
            <w:shd w:val="clear" w:color="auto" w:fill="FFFFFF"/>
            <w:tcMar>
              <w:top w:w="60" w:type="dxa"/>
              <w:left w:w="130" w:type="dxa"/>
              <w:bottom w:w="60" w:type="dxa"/>
              <w:right w:w="130" w:type="dxa"/>
            </w:tcMar>
          </w:tcPr>
          <w:p w14:paraId="537394B1" w14:textId="77777777" w:rsidR="00916813" w:rsidRPr="00A92C25" w:rsidRDefault="00234F49" w:rsidP="007245A1">
            <w:pPr>
              <w:jc w:val="both"/>
              <w:rPr>
                <w:b/>
                <w:bCs/>
                <w:sz w:val="18"/>
                <w:szCs w:val="18"/>
              </w:rPr>
            </w:pPr>
            <w:r w:rsidRPr="00A92C25">
              <w:rPr>
                <w:b/>
                <w:bCs/>
                <w:color w:val="1B2A4A"/>
                <w:sz w:val="18"/>
                <w:szCs w:val="18"/>
              </w:rPr>
              <w:t>POS Filtering</w:t>
            </w:r>
          </w:p>
        </w:tc>
        <w:tc>
          <w:tcPr>
            <w:tcW w:w="7446" w:type="dxa"/>
            <w:tcBorders>
              <w:bottom w:val="single" w:sz="2" w:space="0" w:color="C8D3DF"/>
            </w:tcBorders>
            <w:shd w:val="clear" w:color="auto" w:fill="FFFFFF"/>
            <w:tcMar>
              <w:top w:w="60" w:type="dxa"/>
              <w:left w:w="130" w:type="dxa"/>
              <w:bottom w:w="60" w:type="dxa"/>
              <w:right w:w="130" w:type="dxa"/>
            </w:tcMar>
          </w:tcPr>
          <w:p w14:paraId="141C391F" w14:textId="3CEFE823" w:rsidR="00916813" w:rsidRPr="00A92C25" w:rsidRDefault="00234F49" w:rsidP="007245A1">
            <w:pPr>
              <w:jc w:val="both"/>
              <w:rPr>
                <w:sz w:val="18"/>
                <w:szCs w:val="18"/>
              </w:rPr>
            </w:pPr>
            <w:r w:rsidRPr="00A92C25">
              <w:rPr>
                <w:color w:val="333333"/>
                <w:sz w:val="18"/>
                <w:szCs w:val="18"/>
              </w:rPr>
              <w:t>Retains only nouns and adjectives</w:t>
            </w:r>
            <w:r w:rsidR="00D94ACC" w:rsidRPr="00A92C25">
              <w:rPr>
                <w:color w:val="333333"/>
                <w:sz w:val="18"/>
                <w:szCs w:val="18"/>
              </w:rPr>
              <w:t>. Nouns and adjectives better represent themes, entities, settings, and atmosphere (</w:t>
            </w:r>
            <w:r w:rsidR="00D94ACC" w:rsidRPr="00A92C25">
              <w:rPr>
                <w:i/>
                <w:iCs/>
                <w:color w:val="333333"/>
                <w:sz w:val="18"/>
                <w:szCs w:val="18"/>
              </w:rPr>
              <w:t>host, demon, haunted, dark</w:t>
            </w:r>
            <w:r w:rsidR="00D94ACC" w:rsidRPr="00A92C25">
              <w:rPr>
                <w:color w:val="333333"/>
                <w:sz w:val="18"/>
                <w:szCs w:val="18"/>
              </w:rPr>
              <w:t>). This step improves interpretability of word frequencies and visualizations</w:t>
            </w:r>
          </w:p>
        </w:tc>
      </w:tr>
    </w:tbl>
    <w:p w14:paraId="4C19C914" w14:textId="371B5794" w:rsidR="00916813" w:rsidRPr="00A92C25" w:rsidRDefault="00D620DF" w:rsidP="007245A1">
      <w:pPr>
        <w:pStyle w:val="Heading1"/>
      </w:pPr>
      <w:r w:rsidRPr="00A92C25">
        <w:t>QUANTITATIVE TEXT ANALYSIS</w:t>
      </w:r>
    </w:p>
    <w:p w14:paraId="5323603D" w14:textId="25E5F0C9" w:rsidR="00D620DF" w:rsidRPr="00A92C25" w:rsidRDefault="00D620DF" w:rsidP="00D620DF">
      <w:pPr>
        <w:pStyle w:val="Heading1"/>
        <w:pBdr>
          <w:bottom w:val="none" w:sz="0" w:space="0" w:color="auto"/>
        </w:pBdr>
      </w:pPr>
      <w:r w:rsidRPr="00A92C25">
        <w:t>Document Vectorization</w:t>
      </w:r>
    </w:p>
    <w:p w14:paraId="0E49B733" w14:textId="06F30ED7" w:rsidR="00D620DF" w:rsidRPr="00A92C25" w:rsidRDefault="00D620DF" w:rsidP="00D620DF">
      <w:pPr>
        <w:pStyle w:val="NoSpacing"/>
        <w:jc w:val="both"/>
        <w:rPr>
          <w:sz w:val="18"/>
          <w:szCs w:val="18"/>
        </w:rPr>
      </w:pPr>
      <w:r w:rsidRPr="00A92C25">
        <w:rPr>
          <w:sz w:val="18"/>
          <w:szCs w:val="18"/>
        </w:rPr>
        <w:t>The cleaned descriptions were transformed into numerical representations using a Bag-of-Words model (</w:t>
      </w:r>
      <w:proofErr w:type="spellStart"/>
      <w:r w:rsidRPr="00A92C25">
        <w:rPr>
          <w:sz w:val="18"/>
          <w:szCs w:val="18"/>
        </w:rPr>
        <w:t>CountVectorizer</w:t>
      </w:r>
      <w:proofErr w:type="spellEnd"/>
      <w:r w:rsidRPr="00A92C25">
        <w:rPr>
          <w:sz w:val="18"/>
          <w:szCs w:val="18"/>
        </w:rPr>
        <w:t>). Each movie overview was represented as a vector of word counts. Extremely rare words (appearing in fewer than five documents) and extremely frequent words (appearing in more than 85% of documents) were removed to reduce noise. This produced a sparse document-term matrix suitable for quantitative comparison between the two corpora.</w:t>
      </w:r>
    </w:p>
    <w:p w14:paraId="5024899E" w14:textId="1C5F26C2" w:rsidR="002E3115" w:rsidRPr="00A92C25" w:rsidRDefault="002E3115" w:rsidP="00D620DF">
      <w:pPr>
        <w:jc w:val="both"/>
        <w:rPr>
          <w:b/>
          <w:bCs/>
          <w:color w:val="1B2A4A"/>
          <w:sz w:val="18"/>
          <w:szCs w:val="18"/>
        </w:rPr>
      </w:pPr>
    </w:p>
    <w:p w14:paraId="02FF91E4" w14:textId="634C95E4" w:rsidR="002E3115" w:rsidRDefault="00150F8F" w:rsidP="00D620DF">
      <w:pPr>
        <w:jc w:val="both"/>
        <w:rPr>
          <w:b/>
          <w:bCs/>
          <w:color w:val="1B2A4A"/>
          <w:sz w:val="18"/>
          <w:szCs w:val="18"/>
        </w:rPr>
      </w:pPr>
      <w:r w:rsidRPr="00A92C25">
        <w:rPr>
          <w:noProof/>
          <w:sz w:val="18"/>
          <w:szCs w:val="18"/>
        </w:rPr>
        <w:drawing>
          <wp:anchor distT="0" distB="0" distL="114300" distR="114300" simplePos="0" relativeHeight="251658240" behindDoc="0" locked="0" layoutInCell="1" allowOverlap="1" wp14:anchorId="02D279EF" wp14:editId="55F79A69">
            <wp:simplePos x="0" y="0"/>
            <wp:positionH relativeFrom="margin">
              <wp:align>center</wp:align>
            </wp:positionH>
            <wp:positionV relativeFrom="paragraph">
              <wp:posOffset>236220</wp:posOffset>
            </wp:positionV>
            <wp:extent cx="5760720" cy="1898650"/>
            <wp:effectExtent l="0" t="0" r="0" b="6350"/>
            <wp:wrapTopAndBottom/>
            <wp:docPr id="189016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6345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1898650"/>
                    </a:xfrm>
                    <a:prstGeom prst="rect">
                      <a:avLst/>
                    </a:prstGeom>
                  </pic:spPr>
                </pic:pic>
              </a:graphicData>
            </a:graphic>
            <wp14:sizeRelH relativeFrom="page">
              <wp14:pctWidth>0</wp14:pctWidth>
            </wp14:sizeRelH>
            <wp14:sizeRelV relativeFrom="page">
              <wp14:pctHeight>0</wp14:pctHeight>
            </wp14:sizeRelV>
          </wp:anchor>
        </w:drawing>
      </w:r>
      <w:r w:rsidR="002E3115" w:rsidRPr="00A92C25">
        <w:rPr>
          <w:b/>
          <w:bCs/>
          <w:color w:val="1B2A4A"/>
          <w:sz w:val="18"/>
          <w:szCs w:val="18"/>
        </w:rPr>
        <w:t>Word Frequency</w:t>
      </w:r>
    </w:p>
    <w:p w14:paraId="2A859BCF" w14:textId="3AA83D83" w:rsidR="00150F8F" w:rsidRPr="00A92C25" w:rsidRDefault="00150F8F" w:rsidP="00D620DF">
      <w:pPr>
        <w:jc w:val="both"/>
        <w:rPr>
          <w:b/>
          <w:bCs/>
          <w:color w:val="1B2A4A"/>
          <w:sz w:val="18"/>
          <w:szCs w:val="18"/>
        </w:rPr>
      </w:pPr>
    </w:p>
    <w:p w14:paraId="113BBE05" w14:textId="2851E2A2" w:rsidR="00A7689A" w:rsidRDefault="00FF6160" w:rsidP="00D87644">
      <w:pPr>
        <w:jc w:val="both"/>
        <w:rPr>
          <w:sz w:val="18"/>
          <w:szCs w:val="18"/>
        </w:rPr>
      </w:pPr>
      <w:r w:rsidRPr="00FF6160">
        <w:rPr>
          <w:sz w:val="18"/>
          <w:szCs w:val="18"/>
        </w:rPr>
        <w:t xml:space="preserve">Both corpora share core horror vocabulary such as </w:t>
      </w:r>
      <w:r w:rsidRPr="00FF6160">
        <w:rPr>
          <w:i/>
          <w:iCs/>
          <w:sz w:val="18"/>
          <w:szCs w:val="18"/>
        </w:rPr>
        <w:t>night, house, death,</w:t>
      </w:r>
      <w:r w:rsidRPr="00FF6160">
        <w:rPr>
          <w:sz w:val="18"/>
          <w:szCs w:val="18"/>
        </w:rPr>
        <w:t xml:space="preserve"> and </w:t>
      </w:r>
      <w:r w:rsidRPr="00FF6160">
        <w:rPr>
          <w:i/>
          <w:iCs/>
          <w:sz w:val="18"/>
          <w:szCs w:val="18"/>
        </w:rPr>
        <w:t>kill</w:t>
      </w:r>
      <w:r w:rsidRPr="00FF6160">
        <w:rPr>
          <w:sz w:val="18"/>
          <w:szCs w:val="18"/>
        </w:rPr>
        <w:t>, confirming consistent genre conventions. However, differences appear in narrative focus: low-budget films emphasize individual characters and close social relations, while high-budget films more often reference groups and locations, suggesting a broader narrative scope and more complex story settings.</w:t>
      </w:r>
    </w:p>
    <w:p w14:paraId="675642FD" w14:textId="77777777" w:rsidR="00150F8F" w:rsidRDefault="00150F8F" w:rsidP="00D87644">
      <w:pPr>
        <w:jc w:val="both"/>
        <w:rPr>
          <w:sz w:val="18"/>
          <w:szCs w:val="18"/>
        </w:rPr>
      </w:pPr>
    </w:p>
    <w:p w14:paraId="533CDFEA" w14:textId="77777777" w:rsidR="00FF6160" w:rsidRPr="00A92C25" w:rsidRDefault="00FF6160" w:rsidP="00D87644">
      <w:pPr>
        <w:jc w:val="both"/>
        <w:rPr>
          <w:sz w:val="18"/>
          <w:szCs w:val="18"/>
        </w:rPr>
      </w:pPr>
    </w:p>
    <w:p w14:paraId="6A9ECF42" w14:textId="584017FC" w:rsidR="00D87644" w:rsidRDefault="00150F8F" w:rsidP="00D87644">
      <w:pPr>
        <w:jc w:val="both"/>
        <w:rPr>
          <w:b/>
          <w:bCs/>
          <w:color w:val="1B2A4A"/>
          <w:sz w:val="18"/>
          <w:szCs w:val="18"/>
        </w:rPr>
      </w:pPr>
      <w:r w:rsidRPr="00A92C25">
        <w:rPr>
          <w:noProof/>
          <w:sz w:val="18"/>
          <w:szCs w:val="18"/>
        </w:rPr>
        <w:drawing>
          <wp:anchor distT="0" distB="0" distL="114300" distR="114300" simplePos="0" relativeHeight="251659264" behindDoc="0" locked="0" layoutInCell="1" allowOverlap="1" wp14:anchorId="08D234BA" wp14:editId="182D8806">
            <wp:simplePos x="0" y="0"/>
            <wp:positionH relativeFrom="margin">
              <wp:align>center</wp:align>
            </wp:positionH>
            <wp:positionV relativeFrom="paragraph">
              <wp:posOffset>255709</wp:posOffset>
            </wp:positionV>
            <wp:extent cx="5833110" cy="1969135"/>
            <wp:effectExtent l="0" t="0" r="0" b="0"/>
            <wp:wrapTopAndBottom/>
            <wp:docPr id="209552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223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3110" cy="1969135"/>
                    </a:xfrm>
                    <a:prstGeom prst="rect">
                      <a:avLst/>
                    </a:prstGeom>
                  </pic:spPr>
                </pic:pic>
              </a:graphicData>
            </a:graphic>
            <wp14:sizeRelH relativeFrom="page">
              <wp14:pctWidth>0</wp14:pctWidth>
            </wp14:sizeRelH>
            <wp14:sizeRelV relativeFrom="page">
              <wp14:pctHeight>0</wp14:pctHeight>
            </wp14:sizeRelV>
          </wp:anchor>
        </w:drawing>
      </w:r>
      <w:r w:rsidR="00D87644" w:rsidRPr="00A92C25">
        <w:rPr>
          <w:b/>
          <w:bCs/>
          <w:color w:val="1B2A4A"/>
          <w:sz w:val="18"/>
          <w:szCs w:val="18"/>
        </w:rPr>
        <w:t>Word clouds</w:t>
      </w:r>
    </w:p>
    <w:p w14:paraId="1916915A" w14:textId="5FA501BA" w:rsidR="00150F8F" w:rsidRPr="00A92C25" w:rsidRDefault="00150F8F" w:rsidP="00D87644">
      <w:pPr>
        <w:jc w:val="both"/>
        <w:rPr>
          <w:b/>
          <w:bCs/>
          <w:color w:val="1B2A4A"/>
          <w:sz w:val="18"/>
          <w:szCs w:val="18"/>
        </w:rPr>
      </w:pPr>
    </w:p>
    <w:p w14:paraId="5B16BC0C" w14:textId="41C0EECA" w:rsidR="00A7689A" w:rsidRPr="00A92C25" w:rsidRDefault="00A7689A" w:rsidP="00D87644">
      <w:pPr>
        <w:jc w:val="both"/>
        <w:rPr>
          <w:b/>
          <w:bCs/>
          <w:color w:val="1B2A4A"/>
          <w:sz w:val="18"/>
          <w:szCs w:val="18"/>
        </w:rPr>
      </w:pPr>
    </w:p>
    <w:p w14:paraId="086D77EF" w14:textId="1A5E628D" w:rsidR="00D87644" w:rsidRDefault="001C10FC" w:rsidP="00D87644">
      <w:pPr>
        <w:jc w:val="both"/>
        <w:rPr>
          <w:sz w:val="18"/>
          <w:szCs w:val="18"/>
        </w:rPr>
      </w:pPr>
      <w:r w:rsidRPr="001C10FC">
        <w:rPr>
          <w:sz w:val="18"/>
          <w:szCs w:val="18"/>
        </w:rPr>
        <w:t xml:space="preserve">The word clouds reinforce this contrast visually. Low-budget descriptions concentrate on intimacy, domestic spaces, and immediate danger, indicating contained stories centered on personal survival. In contrast, high-budget descriptions highlight places, collective actors, and external threats, reflecting larger environments and more expansive world-building. </w:t>
      </w:r>
    </w:p>
    <w:p w14:paraId="062DAD9C" w14:textId="77777777" w:rsidR="00150F8F" w:rsidRDefault="00150F8F" w:rsidP="00D87644">
      <w:pPr>
        <w:jc w:val="both"/>
        <w:rPr>
          <w:sz w:val="18"/>
          <w:szCs w:val="18"/>
        </w:rPr>
      </w:pPr>
    </w:p>
    <w:p w14:paraId="5C759F1B" w14:textId="5DF22AC2" w:rsidR="001C10FC" w:rsidRPr="00A92C25" w:rsidRDefault="001C10FC" w:rsidP="00D87644">
      <w:pPr>
        <w:jc w:val="both"/>
        <w:rPr>
          <w:sz w:val="18"/>
          <w:szCs w:val="18"/>
        </w:rPr>
      </w:pPr>
    </w:p>
    <w:p w14:paraId="3BDC273B" w14:textId="2FD2AE76" w:rsidR="00123A43" w:rsidRDefault="00204E83" w:rsidP="00D87644">
      <w:pPr>
        <w:jc w:val="both"/>
        <w:rPr>
          <w:b/>
          <w:bCs/>
          <w:color w:val="1B2A4A"/>
          <w:sz w:val="18"/>
          <w:szCs w:val="18"/>
        </w:rPr>
      </w:pPr>
      <w:r w:rsidRPr="0041569D">
        <w:rPr>
          <w:b/>
          <w:bCs/>
          <w:noProof/>
          <w:color w:val="1B2A4A"/>
          <w:sz w:val="18"/>
          <w:szCs w:val="18"/>
        </w:rPr>
        <w:drawing>
          <wp:anchor distT="0" distB="0" distL="114300" distR="114300" simplePos="0" relativeHeight="251662336" behindDoc="0" locked="0" layoutInCell="1" allowOverlap="1" wp14:anchorId="4F039715" wp14:editId="19CE454F">
            <wp:simplePos x="0" y="0"/>
            <wp:positionH relativeFrom="column">
              <wp:posOffset>5304081</wp:posOffset>
            </wp:positionH>
            <wp:positionV relativeFrom="paragraph">
              <wp:posOffset>269813</wp:posOffset>
            </wp:positionV>
            <wp:extent cx="1316990" cy="1721485"/>
            <wp:effectExtent l="0" t="0" r="0" b="0"/>
            <wp:wrapTopAndBottom/>
            <wp:docPr id="200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995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6990" cy="1721485"/>
                    </a:xfrm>
                    <a:prstGeom prst="rect">
                      <a:avLst/>
                    </a:prstGeom>
                  </pic:spPr>
                </pic:pic>
              </a:graphicData>
            </a:graphic>
            <wp14:sizeRelH relativeFrom="page">
              <wp14:pctWidth>0</wp14:pctWidth>
            </wp14:sizeRelH>
            <wp14:sizeRelV relativeFrom="page">
              <wp14:pctHeight>0</wp14:pctHeight>
            </wp14:sizeRelV>
          </wp:anchor>
        </w:drawing>
      </w:r>
      <w:r w:rsidRPr="00A92C25">
        <w:rPr>
          <w:noProof/>
          <w:sz w:val="18"/>
          <w:szCs w:val="18"/>
        </w:rPr>
        <w:drawing>
          <wp:anchor distT="0" distB="0" distL="114300" distR="114300" simplePos="0" relativeHeight="251660288" behindDoc="0" locked="0" layoutInCell="1" allowOverlap="1" wp14:anchorId="283C14A3" wp14:editId="50DB8F51">
            <wp:simplePos x="0" y="0"/>
            <wp:positionH relativeFrom="margin">
              <wp:align>left</wp:align>
            </wp:positionH>
            <wp:positionV relativeFrom="paragraph">
              <wp:posOffset>234315</wp:posOffset>
            </wp:positionV>
            <wp:extent cx="5196205" cy="1801495"/>
            <wp:effectExtent l="0" t="0" r="4445" b="8255"/>
            <wp:wrapTopAndBottom/>
            <wp:docPr id="8356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8278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96205" cy="1801495"/>
                    </a:xfrm>
                    <a:prstGeom prst="rect">
                      <a:avLst/>
                    </a:prstGeom>
                  </pic:spPr>
                </pic:pic>
              </a:graphicData>
            </a:graphic>
            <wp14:sizeRelH relativeFrom="page">
              <wp14:pctWidth>0</wp14:pctWidth>
            </wp14:sizeRelH>
            <wp14:sizeRelV relativeFrom="page">
              <wp14:pctHeight>0</wp14:pctHeight>
            </wp14:sizeRelV>
          </wp:anchor>
        </w:drawing>
      </w:r>
      <w:r w:rsidR="00123A43" w:rsidRPr="00A92C25">
        <w:rPr>
          <w:b/>
          <w:bCs/>
          <w:color w:val="1B2A4A"/>
          <w:sz w:val="18"/>
          <w:szCs w:val="18"/>
        </w:rPr>
        <w:t>Bigrams</w:t>
      </w:r>
      <w:r w:rsidR="0041569D">
        <w:rPr>
          <w:b/>
          <w:bCs/>
          <w:color w:val="1B2A4A"/>
          <w:sz w:val="18"/>
          <w:szCs w:val="18"/>
        </w:rPr>
        <w:t xml:space="preserve"> and</w:t>
      </w:r>
      <w:r>
        <w:rPr>
          <w:b/>
          <w:bCs/>
          <w:color w:val="1B2A4A"/>
          <w:sz w:val="18"/>
          <w:szCs w:val="18"/>
        </w:rPr>
        <w:t xml:space="preserve"> TF-IDF</w:t>
      </w:r>
    </w:p>
    <w:p w14:paraId="7956A9FB" w14:textId="5F724C2F" w:rsidR="00150F8F" w:rsidRPr="00A92C25" w:rsidRDefault="00150F8F" w:rsidP="00D87644">
      <w:pPr>
        <w:jc w:val="both"/>
        <w:rPr>
          <w:b/>
          <w:bCs/>
          <w:color w:val="1B2A4A"/>
          <w:sz w:val="18"/>
          <w:szCs w:val="18"/>
        </w:rPr>
      </w:pPr>
    </w:p>
    <w:p w14:paraId="6A79481D" w14:textId="0B613C80" w:rsidR="00123A43" w:rsidRPr="00A92C25" w:rsidRDefault="00CF38DB" w:rsidP="007245A1">
      <w:pPr>
        <w:jc w:val="both"/>
        <w:rPr>
          <w:b/>
          <w:bCs/>
          <w:color w:val="1B2A4A"/>
          <w:sz w:val="18"/>
          <w:szCs w:val="18"/>
        </w:rPr>
      </w:pPr>
      <w:r w:rsidRPr="00CF38DB">
        <w:rPr>
          <w:sz w:val="18"/>
          <w:szCs w:val="18"/>
        </w:rPr>
        <w:t>Distinctive vocabulary confirms structural differences between the narratives. High-budget films frequently reference institutions and specific locations, while low-budget films emphasize actions and direct encounters. This indicates that larger productions build broader narrative worlds, whereas smaller productions rely on immediate conflict and interpersonal threat.</w:t>
      </w:r>
    </w:p>
    <w:p w14:paraId="5DF62F32" w14:textId="77777777" w:rsidR="00123A43" w:rsidRPr="00A92C25" w:rsidRDefault="00123A43" w:rsidP="007245A1">
      <w:pPr>
        <w:jc w:val="both"/>
        <w:rPr>
          <w:b/>
          <w:bCs/>
          <w:color w:val="1B2A4A"/>
          <w:sz w:val="18"/>
          <w:szCs w:val="18"/>
        </w:rPr>
      </w:pPr>
    </w:p>
    <w:p w14:paraId="0E901643" w14:textId="77777777" w:rsidR="00123A43" w:rsidRPr="00A92C25" w:rsidRDefault="00123A43" w:rsidP="007245A1">
      <w:pPr>
        <w:jc w:val="both"/>
        <w:rPr>
          <w:b/>
          <w:bCs/>
          <w:color w:val="1B2A4A"/>
          <w:sz w:val="18"/>
          <w:szCs w:val="18"/>
        </w:rPr>
      </w:pPr>
    </w:p>
    <w:p w14:paraId="0DD5FBD7" w14:textId="555F00BB" w:rsidR="00123A43" w:rsidRPr="00A92C25" w:rsidRDefault="00123A43" w:rsidP="007245A1">
      <w:pPr>
        <w:jc w:val="both"/>
        <w:rPr>
          <w:b/>
          <w:bCs/>
          <w:color w:val="1B2A4A"/>
          <w:sz w:val="18"/>
          <w:szCs w:val="18"/>
        </w:rPr>
      </w:pPr>
    </w:p>
    <w:p w14:paraId="4220525F" w14:textId="28C42170" w:rsidR="00123A43" w:rsidRPr="00A92C25" w:rsidRDefault="00123A43" w:rsidP="007245A1">
      <w:pPr>
        <w:jc w:val="both"/>
        <w:rPr>
          <w:b/>
          <w:bCs/>
          <w:color w:val="1B2A4A"/>
          <w:sz w:val="18"/>
          <w:szCs w:val="18"/>
        </w:rPr>
      </w:pPr>
    </w:p>
    <w:p w14:paraId="6C1D5106" w14:textId="558C5D83" w:rsidR="00123A43" w:rsidRPr="00A92C25" w:rsidRDefault="00123A43" w:rsidP="007245A1">
      <w:pPr>
        <w:jc w:val="both"/>
        <w:rPr>
          <w:b/>
          <w:bCs/>
          <w:color w:val="1B2A4A"/>
          <w:sz w:val="18"/>
          <w:szCs w:val="18"/>
        </w:rPr>
      </w:pPr>
    </w:p>
    <w:p w14:paraId="74DBB6D4" w14:textId="274E3B9A" w:rsidR="00123A43" w:rsidRPr="00A92C25" w:rsidRDefault="00123A43" w:rsidP="007245A1">
      <w:pPr>
        <w:jc w:val="both"/>
        <w:rPr>
          <w:b/>
          <w:bCs/>
          <w:color w:val="1B2A4A"/>
          <w:sz w:val="18"/>
          <w:szCs w:val="18"/>
        </w:rPr>
      </w:pPr>
    </w:p>
    <w:p w14:paraId="4424AD10" w14:textId="33B89615" w:rsidR="00D620DF" w:rsidRPr="00A92C25" w:rsidRDefault="00123A43" w:rsidP="007245A1">
      <w:pPr>
        <w:jc w:val="both"/>
        <w:rPr>
          <w:b/>
          <w:bCs/>
          <w:color w:val="1B2A4A"/>
          <w:sz w:val="18"/>
          <w:szCs w:val="18"/>
        </w:rPr>
      </w:pPr>
      <w:r w:rsidRPr="00A92C25">
        <w:rPr>
          <w:noProof/>
          <w:sz w:val="18"/>
          <w:szCs w:val="18"/>
        </w:rPr>
        <w:lastRenderedPageBreak/>
        <w:drawing>
          <wp:anchor distT="0" distB="0" distL="114300" distR="114300" simplePos="0" relativeHeight="251661312" behindDoc="0" locked="0" layoutInCell="1" allowOverlap="1" wp14:anchorId="41493B70" wp14:editId="578F9DA3">
            <wp:simplePos x="0" y="0"/>
            <wp:positionH relativeFrom="margin">
              <wp:align>center</wp:align>
            </wp:positionH>
            <wp:positionV relativeFrom="paragraph">
              <wp:posOffset>269923</wp:posOffset>
            </wp:positionV>
            <wp:extent cx="6153785" cy="2016125"/>
            <wp:effectExtent l="0" t="0" r="0" b="3175"/>
            <wp:wrapTopAndBottom/>
            <wp:docPr id="141407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7245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3785" cy="2016125"/>
                    </a:xfrm>
                    <a:prstGeom prst="rect">
                      <a:avLst/>
                    </a:prstGeom>
                  </pic:spPr>
                </pic:pic>
              </a:graphicData>
            </a:graphic>
            <wp14:sizeRelH relativeFrom="page">
              <wp14:pctWidth>0</wp14:pctWidth>
            </wp14:sizeRelH>
            <wp14:sizeRelV relativeFrom="page">
              <wp14:pctHeight>0</wp14:pctHeight>
            </wp14:sizeRelV>
          </wp:anchor>
        </w:drawing>
      </w:r>
      <w:r w:rsidRPr="00A92C25">
        <w:rPr>
          <w:b/>
          <w:bCs/>
          <w:color w:val="1B2A4A"/>
          <w:sz w:val="18"/>
          <w:szCs w:val="18"/>
        </w:rPr>
        <w:t xml:space="preserve">Sentiment Analysis </w:t>
      </w:r>
    </w:p>
    <w:p w14:paraId="4F5AEE28" w14:textId="77777777" w:rsidR="00CF38DB" w:rsidRDefault="00CF38DB" w:rsidP="007245A1">
      <w:pPr>
        <w:pStyle w:val="Heading1"/>
        <w:rPr>
          <w:b w:val="0"/>
          <w:bCs w:val="0"/>
          <w:color w:val="auto"/>
        </w:rPr>
      </w:pPr>
      <w:r w:rsidRPr="00CF38DB">
        <w:rPr>
          <w:b w:val="0"/>
          <w:bCs w:val="0"/>
          <w:color w:val="auto"/>
        </w:rPr>
        <w:t xml:space="preserve">Both groups exhibit an overall negative tone consistent with the horror genre. However, high-budget films show slightly stronger negative sentiment, suggesting that their descriptions portray more intense or severe threats, supporting the idea of higher narrative stakes. </w:t>
      </w:r>
    </w:p>
    <w:p w14:paraId="0A450824" w14:textId="04B92F5E" w:rsidR="00916813" w:rsidRPr="00A92C25" w:rsidRDefault="00D94ACC" w:rsidP="007245A1">
      <w:pPr>
        <w:pStyle w:val="Heading1"/>
      </w:pPr>
      <w:r w:rsidRPr="00A92C25">
        <w:t>INTERPRETATION</w:t>
      </w:r>
    </w:p>
    <w:p w14:paraId="08714B0A" w14:textId="77777777" w:rsidR="00514B30" w:rsidRDefault="00514B30" w:rsidP="00D620DF">
      <w:pPr>
        <w:pStyle w:val="Heading1"/>
        <w:rPr>
          <w:b w:val="0"/>
          <w:bCs w:val="0"/>
          <w:color w:val="auto"/>
        </w:rPr>
      </w:pPr>
      <w:r w:rsidRPr="00514B30">
        <w:rPr>
          <w:b w:val="0"/>
          <w:bCs w:val="0"/>
          <w:color w:val="auto"/>
        </w:rPr>
        <w:t>Taken together, the results show a consistent pattern. Production budget does not change the core vocabulary of horror, which remains centered on fear, death, and supernatural threat. Instead, budget changes how the story is framed. High-budget films tend to describe broader worlds involving locations, groups, and institutions, whereas low-budget films emphasize proximity, isolation, and direct personal danger. The narrative scale therefore expands with production resources.</w:t>
      </w:r>
    </w:p>
    <w:p w14:paraId="2C93EE42" w14:textId="57879BCF" w:rsidR="00D620DF" w:rsidRPr="00A92C25" w:rsidRDefault="00D620DF" w:rsidP="00D620DF">
      <w:pPr>
        <w:pStyle w:val="Heading1"/>
      </w:pPr>
      <w:r w:rsidRPr="00A92C25">
        <w:t>CONCLUSION</w:t>
      </w:r>
    </w:p>
    <w:p w14:paraId="69FE9269" w14:textId="40C28BD7" w:rsidR="00D620DF" w:rsidRPr="00A92C25" w:rsidRDefault="008B1C75" w:rsidP="00D620DF">
      <w:pPr>
        <w:spacing w:after="180"/>
        <w:jc w:val="both"/>
        <w:rPr>
          <w:sz w:val="18"/>
          <w:szCs w:val="18"/>
        </w:rPr>
      </w:pPr>
      <w:r w:rsidRPr="008B1C75">
        <w:rPr>
          <w:sz w:val="18"/>
          <w:szCs w:val="18"/>
        </w:rPr>
        <w:t>This study demonstrates that budget influences narrative framing rather than genre content. While both groups share core horror vocabulary, the results show that high-budget films more frequently reference locations, groups, and institutions, whereas low-budget films emphasize personal encounters and immediate danger. Bigram and sentiment patterns further suggest broader narrative scale and slightly stronger threat intensity in higher-budget productions. These differences indicate that marketing communication should vary by production scale: large productions can be promoted through spectacle, world-building, and investigation, while smaller films benefit from emphasizing tension and proximity. Such insights are relevant not only for streaming platform metadata and recommendation systems, but also for theatrical marketing materials such as trailers, posters, and synopsis writing.</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9F7" w:themeFill="text2" w:themeFillTint="1A"/>
        <w:tblCellMar>
          <w:left w:w="10" w:type="dxa"/>
          <w:right w:w="10" w:type="dxa"/>
        </w:tblCellMar>
        <w:tblLook w:val="0000" w:firstRow="0" w:lastRow="0" w:firstColumn="0" w:lastColumn="0" w:noHBand="0" w:noVBand="0"/>
      </w:tblPr>
      <w:tblGrid>
        <w:gridCol w:w="10525"/>
      </w:tblGrid>
      <w:tr w:rsidR="00916813" w:rsidRPr="00A92C25" w14:paraId="6405A352" w14:textId="77777777" w:rsidTr="00FB0FAB">
        <w:tc>
          <w:tcPr>
            <w:tcW w:w="10525" w:type="dxa"/>
            <w:shd w:val="clear" w:color="auto" w:fill="DAE9F7" w:themeFill="text2" w:themeFillTint="1A"/>
            <w:tcMar>
              <w:top w:w="130" w:type="dxa"/>
              <w:left w:w="200" w:type="dxa"/>
              <w:bottom w:w="130" w:type="dxa"/>
              <w:right w:w="200" w:type="dxa"/>
            </w:tcMar>
          </w:tcPr>
          <w:p w14:paraId="1E8B62D5" w14:textId="4CC84E08" w:rsidR="00916813" w:rsidRPr="00A92C25" w:rsidRDefault="00D94ACC" w:rsidP="007245A1">
            <w:pPr>
              <w:spacing w:after="55"/>
              <w:jc w:val="both"/>
              <w:rPr>
                <w:sz w:val="18"/>
                <w:szCs w:val="18"/>
              </w:rPr>
            </w:pPr>
            <w:r w:rsidRPr="00A92C25">
              <w:rPr>
                <w:b/>
                <w:bCs/>
                <w:color w:val="1B2A4A"/>
                <w:sz w:val="18"/>
                <w:szCs w:val="18"/>
              </w:rPr>
              <w:t>REPRODUCCIBILITY &amp; DATA ACCESS</w:t>
            </w:r>
          </w:p>
          <w:p w14:paraId="274D7F61" w14:textId="77777777" w:rsidR="00D94ACC" w:rsidRPr="00A92C25" w:rsidRDefault="00D94ACC" w:rsidP="00E149C4">
            <w:pPr>
              <w:spacing w:after="55"/>
              <w:rPr>
                <w:b/>
                <w:bCs/>
                <w:color w:val="444444"/>
                <w:sz w:val="18"/>
                <w:szCs w:val="18"/>
              </w:rPr>
            </w:pPr>
            <w:r w:rsidRPr="00A92C25">
              <w:rPr>
                <w:b/>
                <w:bCs/>
                <w:color w:val="444444"/>
                <w:sz w:val="18"/>
                <w:szCs w:val="18"/>
              </w:rPr>
              <w:t>Data Source</w:t>
            </w:r>
            <w:r w:rsidRPr="00A92C25">
              <w:rPr>
                <w:b/>
                <w:bCs/>
                <w:color w:val="444444"/>
                <w:sz w:val="18"/>
                <w:szCs w:val="18"/>
              </w:rPr>
              <w:br/>
              <w:t xml:space="preserve">Asaniczka. (2023). </w:t>
            </w:r>
            <w:r w:rsidRPr="00A92C25">
              <w:rPr>
                <w:b/>
                <w:bCs/>
                <w:i/>
                <w:iCs/>
                <w:color w:val="444444"/>
                <w:sz w:val="18"/>
                <w:szCs w:val="18"/>
              </w:rPr>
              <w:t>TMDB Movies Dataset (930k movies)</w:t>
            </w:r>
            <w:r w:rsidRPr="00A92C25">
              <w:rPr>
                <w:b/>
                <w:bCs/>
                <w:color w:val="444444"/>
                <w:sz w:val="18"/>
                <w:szCs w:val="18"/>
              </w:rPr>
              <w:t>. Kaggle.</w:t>
            </w:r>
            <w:r w:rsidRPr="00A92C25">
              <w:rPr>
                <w:b/>
                <w:bCs/>
                <w:color w:val="444444"/>
                <w:sz w:val="18"/>
                <w:szCs w:val="18"/>
              </w:rPr>
              <w:br/>
            </w:r>
            <w:hyperlink r:id="rId12" w:tgtFrame="_new" w:history="1">
              <w:r w:rsidRPr="00A92C25">
                <w:rPr>
                  <w:rStyle w:val="Hyperlink"/>
                  <w:b/>
                  <w:bCs/>
                  <w:sz w:val="18"/>
                  <w:szCs w:val="18"/>
                </w:rPr>
                <w:t>https://www.kaggle.com/datasets/asaniczka/tmdb-movies-dataset-2023-930k-movies</w:t>
              </w:r>
            </w:hyperlink>
            <w:r w:rsidRPr="00A92C25">
              <w:rPr>
                <w:b/>
                <w:bCs/>
                <w:color w:val="444444"/>
                <w:sz w:val="18"/>
                <w:szCs w:val="18"/>
              </w:rPr>
              <w:t xml:space="preserve"> </w:t>
            </w:r>
          </w:p>
          <w:p w14:paraId="35A8FD77" w14:textId="77777777" w:rsidR="00E149C4" w:rsidRPr="00A92C25" w:rsidRDefault="00E149C4" w:rsidP="00E149C4">
            <w:pPr>
              <w:spacing w:after="55"/>
              <w:rPr>
                <w:color w:val="444444"/>
                <w:sz w:val="18"/>
                <w:szCs w:val="18"/>
              </w:rPr>
            </w:pPr>
            <w:r w:rsidRPr="00A92C25">
              <w:rPr>
                <w:color w:val="444444"/>
                <w:sz w:val="18"/>
                <w:szCs w:val="18"/>
              </w:rPr>
              <w:t>Due to the dataset size exceeding the upload limit, the data is hosted externally and automatically downloaded within the notebook using a public Google Drive link. Running the first cell fully reproduces the analysis without manual data handling.</w:t>
            </w:r>
          </w:p>
          <w:p w14:paraId="1A44FF5F" w14:textId="0AAFEAC5" w:rsidR="00916813" w:rsidRPr="00A92C25" w:rsidRDefault="00E149C4" w:rsidP="00E149C4">
            <w:pPr>
              <w:spacing w:after="55"/>
              <w:rPr>
                <w:color w:val="444444"/>
                <w:sz w:val="18"/>
                <w:szCs w:val="18"/>
              </w:rPr>
            </w:pPr>
            <w:r w:rsidRPr="00A92C25">
              <w:rPr>
                <w:color w:val="444444"/>
                <w:sz w:val="18"/>
                <w:szCs w:val="18"/>
              </w:rPr>
              <w:t>Direct access to the dataset:</w:t>
            </w:r>
            <w:r w:rsidRPr="00A92C25">
              <w:rPr>
                <w:color w:val="444444"/>
                <w:sz w:val="18"/>
                <w:szCs w:val="18"/>
              </w:rPr>
              <w:br/>
            </w:r>
            <w:hyperlink r:id="rId13" w:tgtFrame="_new" w:history="1">
              <w:r w:rsidRPr="00A92C25">
                <w:rPr>
                  <w:rStyle w:val="Hyperlink"/>
                  <w:sz w:val="18"/>
                  <w:szCs w:val="18"/>
                </w:rPr>
                <w:t>https://drive.google.com/file/d/1EbZeuO5agx1U7bJoJJokgZbYvpXwB9IR/view?usp=sharing</w:t>
              </w:r>
            </w:hyperlink>
          </w:p>
        </w:tc>
      </w:tr>
    </w:tbl>
    <w:p w14:paraId="414F27F4" w14:textId="613AC694" w:rsidR="00287650" w:rsidRDefault="00287650">
      <w:pPr>
        <w:rPr>
          <w:sz w:val="22"/>
          <w:szCs w:val="22"/>
        </w:rPr>
      </w:pPr>
    </w:p>
    <w:p w14:paraId="62EBAA68" w14:textId="77777777" w:rsidR="00A92C25" w:rsidRPr="00FB0FAB" w:rsidRDefault="00A92C25">
      <w:pPr>
        <w:rPr>
          <w:sz w:val="22"/>
          <w:szCs w:val="22"/>
        </w:rPr>
      </w:pPr>
    </w:p>
    <w:sectPr w:rsidR="00A92C25" w:rsidRPr="00FB0FAB" w:rsidSect="00042BE5">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D2CC" w14:textId="77777777" w:rsidR="003A56E4" w:rsidRDefault="003A56E4" w:rsidP="00230358">
      <w:r>
        <w:separator/>
      </w:r>
    </w:p>
  </w:endnote>
  <w:endnote w:type="continuationSeparator" w:id="0">
    <w:p w14:paraId="4A643920" w14:textId="77777777" w:rsidR="003A56E4" w:rsidRDefault="003A56E4" w:rsidP="00230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80F2A" w14:textId="77777777" w:rsidR="003A56E4" w:rsidRDefault="003A56E4" w:rsidP="00230358">
      <w:r>
        <w:separator/>
      </w:r>
    </w:p>
  </w:footnote>
  <w:footnote w:type="continuationSeparator" w:id="0">
    <w:p w14:paraId="77EF6322" w14:textId="77777777" w:rsidR="003A56E4" w:rsidRDefault="003A56E4" w:rsidP="002303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E0CC7"/>
    <w:multiLevelType w:val="multilevel"/>
    <w:tmpl w:val="E15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16EA0"/>
    <w:multiLevelType w:val="hybridMultilevel"/>
    <w:tmpl w:val="5ECA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17101A"/>
    <w:multiLevelType w:val="hybridMultilevel"/>
    <w:tmpl w:val="E7E27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3600B"/>
    <w:multiLevelType w:val="hybridMultilevel"/>
    <w:tmpl w:val="98CC7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D19C4"/>
    <w:multiLevelType w:val="hybridMultilevel"/>
    <w:tmpl w:val="4140B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7450F"/>
    <w:multiLevelType w:val="hybridMultilevel"/>
    <w:tmpl w:val="60E0D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67749F"/>
    <w:multiLevelType w:val="hybridMultilevel"/>
    <w:tmpl w:val="AF3616D0"/>
    <w:lvl w:ilvl="0" w:tplc="8766F7A6">
      <w:start w:val="1"/>
      <w:numFmt w:val="bullet"/>
      <w:lvlText w:val="●"/>
      <w:lvlJc w:val="left"/>
      <w:pPr>
        <w:ind w:left="720" w:hanging="360"/>
      </w:pPr>
    </w:lvl>
    <w:lvl w:ilvl="1" w:tplc="604A6C36">
      <w:start w:val="1"/>
      <w:numFmt w:val="bullet"/>
      <w:lvlText w:val="○"/>
      <w:lvlJc w:val="left"/>
      <w:pPr>
        <w:ind w:left="1440" w:hanging="360"/>
      </w:pPr>
    </w:lvl>
    <w:lvl w:ilvl="2" w:tplc="F04A0904">
      <w:start w:val="1"/>
      <w:numFmt w:val="bullet"/>
      <w:lvlText w:val="■"/>
      <w:lvlJc w:val="left"/>
      <w:pPr>
        <w:ind w:left="2160" w:hanging="360"/>
      </w:pPr>
    </w:lvl>
    <w:lvl w:ilvl="3" w:tplc="3A8C7DE8">
      <w:start w:val="1"/>
      <w:numFmt w:val="bullet"/>
      <w:lvlText w:val="●"/>
      <w:lvlJc w:val="left"/>
      <w:pPr>
        <w:ind w:left="2880" w:hanging="360"/>
      </w:pPr>
    </w:lvl>
    <w:lvl w:ilvl="4" w:tplc="B1C09C7C">
      <w:start w:val="1"/>
      <w:numFmt w:val="bullet"/>
      <w:lvlText w:val="○"/>
      <w:lvlJc w:val="left"/>
      <w:pPr>
        <w:ind w:left="3600" w:hanging="360"/>
      </w:pPr>
    </w:lvl>
    <w:lvl w:ilvl="5" w:tplc="D8C22168">
      <w:start w:val="1"/>
      <w:numFmt w:val="bullet"/>
      <w:lvlText w:val="■"/>
      <w:lvlJc w:val="left"/>
      <w:pPr>
        <w:ind w:left="4320" w:hanging="360"/>
      </w:pPr>
    </w:lvl>
    <w:lvl w:ilvl="6" w:tplc="F6D83CD4">
      <w:start w:val="1"/>
      <w:numFmt w:val="bullet"/>
      <w:lvlText w:val="●"/>
      <w:lvlJc w:val="left"/>
      <w:pPr>
        <w:ind w:left="5040" w:hanging="360"/>
      </w:pPr>
    </w:lvl>
    <w:lvl w:ilvl="7" w:tplc="E6B678DA">
      <w:start w:val="1"/>
      <w:numFmt w:val="bullet"/>
      <w:lvlText w:val="●"/>
      <w:lvlJc w:val="left"/>
      <w:pPr>
        <w:ind w:left="5760" w:hanging="360"/>
      </w:pPr>
    </w:lvl>
    <w:lvl w:ilvl="8" w:tplc="D5467C12">
      <w:start w:val="1"/>
      <w:numFmt w:val="bullet"/>
      <w:lvlText w:val="●"/>
      <w:lvlJc w:val="left"/>
      <w:pPr>
        <w:ind w:left="6480" w:hanging="360"/>
      </w:pPr>
    </w:lvl>
  </w:abstractNum>
  <w:abstractNum w:abstractNumId="7" w15:restartNumberingAfterBreak="0">
    <w:nsid w:val="54D10A80"/>
    <w:multiLevelType w:val="hybridMultilevel"/>
    <w:tmpl w:val="1E38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0C3520"/>
    <w:multiLevelType w:val="hybridMultilevel"/>
    <w:tmpl w:val="734ED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46119E"/>
    <w:multiLevelType w:val="hybridMultilevel"/>
    <w:tmpl w:val="15223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818487">
    <w:abstractNumId w:val="6"/>
    <w:lvlOverride w:ilvl="0">
      <w:startOverride w:val="1"/>
    </w:lvlOverride>
  </w:num>
  <w:num w:numId="2" w16cid:durableId="2102143362">
    <w:abstractNumId w:val="3"/>
  </w:num>
  <w:num w:numId="3" w16cid:durableId="388381134">
    <w:abstractNumId w:val="8"/>
  </w:num>
  <w:num w:numId="4" w16cid:durableId="885916114">
    <w:abstractNumId w:val="9"/>
  </w:num>
  <w:num w:numId="5" w16cid:durableId="2098668754">
    <w:abstractNumId w:val="7"/>
  </w:num>
  <w:num w:numId="6" w16cid:durableId="353769063">
    <w:abstractNumId w:val="5"/>
  </w:num>
  <w:num w:numId="7" w16cid:durableId="667640072">
    <w:abstractNumId w:val="0"/>
  </w:num>
  <w:num w:numId="8" w16cid:durableId="1727024130">
    <w:abstractNumId w:val="1"/>
  </w:num>
  <w:num w:numId="9" w16cid:durableId="644895303">
    <w:abstractNumId w:val="2"/>
  </w:num>
  <w:num w:numId="10" w16cid:durableId="1579168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13"/>
    <w:rsid w:val="000013F6"/>
    <w:rsid w:val="00042BE5"/>
    <w:rsid w:val="00123A43"/>
    <w:rsid w:val="001473F9"/>
    <w:rsid w:val="00150F8F"/>
    <w:rsid w:val="001C10FC"/>
    <w:rsid w:val="00204E83"/>
    <w:rsid w:val="00230358"/>
    <w:rsid w:val="00234160"/>
    <w:rsid w:val="00234F49"/>
    <w:rsid w:val="0026374B"/>
    <w:rsid w:val="00287650"/>
    <w:rsid w:val="002E3115"/>
    <w:rsid w:val="00384A32"/>
    <w:rsid w:val="003A56E4"/>
    <w:rsid w:val="003E4249"/>
    <w:rsid w:val="0041569D"/>
    <w:rsid w:val="00435827"/>
    <w:rsid w:val="00514B30"/>
    <w:rsid w:val="005A256A"/>
    <w:rsid w:val="005B4076"/>
    <w:rsid w:val="00611775"/>
    <w:rsid w:val="00641860"/>
    <w:rsid w:val="0065623F"/>
    <w:rsid w:val="0069376D"/>
    <w:rsid w:val="006A44E5"/>
    <w:rsid w:val="007245A1"/>
    <w:rsid w:val="00893053"/>
    <w:rsid w:val="008B1C75"/>
    <w:rsid w:val="00916813"/>
    <w:rsid w:val="00917AE2"/>
    <w:rsid w:val="00966AF0"/>
    <w:rsid w:val="009C3B63"/>
    <w:rsid w:val="00A026DC"/>
    <w:rsid w:val="00A674A2"/>
    <w:rsid w:val="00A7689A"/>
    <w:rsid w:val="00A92C25"/>
    <w:rsid w:val="00AB3344"/>
    <w:rsid w:val="00AB7E5D"/>
    <w:rsid w:val="00B32FDF"/>
    <w:rsid w:val="00BE3335"/>
    <w:rsid w:val="00BF1A87"/>
    <w:rsid w:val="00CA1C86"/>
    <w:rsid w:val="00CB67F1"/>
    <w:rsid w:val="00CF38DB"/>
    <w:rsid w:val="00D620DF"/>
    <w:rsid w:val="00D87644"/>
    <w:rsid w:val="00D94ACC"/>
    <w:rsid w:val="00DC0729"/>
    <w:rsid w:val="00DC7B7A"/>
    <w:rsid w:val="00E149C4"/>
    <w:rsid w:val="00E54A1F"/>
    <w:rsid w:val="00E86ECE"/>
    <w:rsid w:val="00EE4982"/>
    <w:rsid w:val="00EF010A"/>
    <w:rsid w:val="00F74E61"/>
    <w:rsid w:val="00FB0FAB"/>
    <w:rsid w:val="00FB7960"/>
    <w:rsid w:val="00FF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8EA5"/>
  <w15:docId w15:val="{428B4503-24AD-449F-8392-91DDFB59A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EE4982"/>
    <w:pPr>
      <w:pBdr>
        <w:bottom w:val="single" w:sz="6" w:space="3" w:color="B03A2E"/>
      </w:pBdr>
      <w:spacing w:before="180" w:after="70"/>
      <w:jc w:val="both"/>
      <w:outlineLvl w:val="0"/>
    </w:pPr>
    <w:rPr>
      <w:b/>
      <w:bCs/>
      <w:color w:val="1B2A4A"/>
      <w:sz w:val="18"/>
      <w:szCs w:val="1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1473F9"/>
  </w:style>
  <w:style w:type="character" w:styleId="UnresolvedMention">
    <w:name w:val="Unresolved Mention"/>
    <w:basedOn w:val="DefaultParagraphFont"/>
    <w:uiPriority w:val="99"/>
    <w:semiHidden/>
    <w:unhideWhenUsed/>
    <w:rsid w:val="00D94ACC"/>
    <w:rPr>
      <w:color w:val="605E5C"/>
      <w:shd w:val="clear" w:color="auto" w:fill="E1DFDD"/>
    </w:rPr>
  </w:style>
  <w:style w:type="paragraph" w:styleId="Header">
    <w:name w:val="header"/>
    <w:basedOn w:val="Normal"/>
    <w:link w:val="HeaderChar"/>
    <w:uiPriority w:val="99"/>
    <w:unhideWhenUsed/>
    <w:rsid w:val="00230358"/>
    <w:pPr>
      <w:tabs>
        <w:tab w:val="center" w:pos="4680"/>
        <w:tab w:val="right" w:pos="9360"/>
      </w:tabs>
    </w:pPr>
  </w:style>
  <w:style w:type="character" w:customStyle="1" w:styleId="HeaderChar">
    <w:name w:val="Header Char"/>
    <w:basedOn w:val="DefaultParagraphFont"/>
    <w:link w:val="Header"/>
    <w:uiPriority w:val="99"/>
    <w:rsid w:val="00230358"/>
  </w:style>
  <w:style w:type="paragraph" w:styleId="Footer">
    <w:name w:val="footer"/>
    <w:basedOn w:val="Normal"/>
    <w:link w:val="FooterChar"/>
    <w:uiPriority w:val="99"/>
    <w:unhideWhenUsed/>
    <w:rsid w:val="00230358"/>
    <w:pPr>
      <w:tabs>
        <w:tab w:val="center" w:pos="4680"/>
        <w:tab w:val="right" w:pos="9360"/>
      </w:tabs>
    </w:pPr>
  </w:style>
  <w:style w:type="character" w:customStyle="1" w:styleId="FooterChar">
    <w:name w:val="Footer Char"/>
    <w:basedOn w:val="DefaultParagraphFont"/>
    <w:link w:val="Footer"/>
    <w:uiPriority w:val="99"/>
    <w:rsid w:val="0023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EbZeuO5agx1U7bJoJJokgZbYvpXwB9IR/view?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kaggle.com/datasets/asaniczka/tmdb-movies-dataset-2023-930k-mov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3</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Padilla Herrera</cp:lastModifiedBy>
  <cp:revision>44</cp:revision>
  <dcterms:created xsi:type="dcterms:W3CDTF">2026-02-11T16:02:00Z</dcterms:created>
  <dcterms:modified xsi:type="dcterms:W3CDTF">2026-02-12T10:13:00Z</dcterms:modified>
</cp:coreProperties>
</file>