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1FF" w:rsidRDefault="00AE7DC8">
      <w:pPr>
        <w:spacing w:after="80"/>
      </w:pPr>
      <w:bookmarkStart w:id="0" w:name="_GoBack"/>
      <w:bookmarkEnd w:id="0"/>
      <w:r>
        <w:rPr>
          <w:rFonts w:ascii="Arial" w:hAnsi="Arial"/>
          <w:b/>
          <w:color w:val="1D4ED8"/>
          <w:sz w:val="18"/>
        </w:rPr>
        <w:t>AEROTELECONSULT KENYA • SECRETARIAT PRACTICE GUIDE</w:t>
      </w:r>
    </w:p>
    <w:p w:rsidR="00F721FF" w:rsidRDefault="00AE7DC8">
      <w:pPr>
        <w:spacing w:after="120"/>
      </w:pPr>
      <w:r>
        <w:rPr>
          <w:rFonts w:ascii="Arial" w:hAnsi="Arial"/>
          <w:b/>
          <w:color w:val="0F172A"/>
          <w:sz w:val="40"/>
        </w:rPr>
        <w:t>Client Billing, Invoicing &amp; Engagement Framework</w:t>
      </w:r>
    </w:p>
    <w:p w:rsidR="00F721FF" w:rsidRDefault="00AE7DC8">
      <w:pPr>
        <w:spacing w:after="360"/>
      </w:pPr>
      <w:r>
        <w:rPr>
          <w:rFonts w:ascii="Arial" w:hAnsi="Arial"/>
          <w:color w:val="64748B"/>
        </w:rPr>
        <w:t>Standard Operating Procedure for CA &amp; KCAA Regulatory Compliance Engagements</w:t>
      </w:r>
    </w:p>
    <w:tbl>
      <w:tblPr>
        <w:tblW w:w="0" w:type="auto"/>
        <w:jc w:val="center"/>
        <w:tblLook w:val="04A0" w:firstRow="1" w:lastRow="0" w:firstColumn="1" w:lastColumn="0" w:noHBand="0" w:noVBand="1"/>
      </w:tblPr>
      <w:tblGrid>
        <w:gridCol w:w="9360"/>
      </w:tblGrid>
      <w:tr w:rsidR="00F721FF">
        <w:trPr>
          <w:jc w:val="center"/>
        </w:trPr>
        <w:tc>
          <w:tcPr>
            <w:tcW w:w="9360" w:type="dxa"/>
            <w:shd w:val="clear" w:color="auto" w:fill="F8FAFC"/>
            <w:tcMar>
              <w:top w:w="160" w:type="dxa"/>
              <w:left w:w="200" w:type="dxa"/>
              <w:bottom w:w="160" w:type="dxa"/>
              <w:right w:w="200" w:type="dxa"/>
            </w:tcMar>
          </w:tcPr>
          <w:p w:rsidR="00F721FF" w:rsidRDefault="00AE7DC8">
            <w:pPr>
              <w:spacing w:after="80"/>
            </w:pPr>
            <w:r>
              <w:rPr>
                <w:b/>
                <w:color w:val="0F172A"/>
                <w:sz w:val="20"/>
              </w:rPr>
              <w:t>EXECUTIVE SUMMARY &amp; CORE RULE:</w:t>
            </w:r>
            <w:r>
              <w:rPr>
                <w:b/>
                <w:color w:val="0F172A"/>
                <w:sz w:val="20"/>
              </w:rPr>
              <w:br/>
            </w:r>
            <w:r>
              <w:rPr>
                <w:color w:val="1E293B"/>
                <w:sz w:val="19"/>
              </w:rPr>
              <w:t xml:space="preserve">Never bill 100% post-delivery. Regulatory and </w:t>
            </w:r>
            <w:r>
              <w:rPr>
                <w:color w:val="1E293B"/>
                <w:sz w:val="19"/>
              </w:rPr>
              <w:t>statutory spectrum consulting requires strict separation between Professional Advisory Fees (firm revenue) and Statutory Disbursements (official government fees payable to CA and KCAA). Implement milestone-based billing to protect cash flow and institution</w:t>
            </w:r>
            <w:r>
              <w:rPr>
                <w:color w:val="1E293B"/>
                <w:sz w:val="19"/>
              </w:rPr>
              <w:t>al compliance.</w:t>
            </w:r>
          </w:p>
        </w:tc>
      </w:tr>
    </w:tbl>
    <w:p w:rsidR="00F721FF" w:rsidRDefault="00F721FF">
      <w:pPr>
        <w:spacing w:after="160"/>
      </w:pPr>
    </w:p>
    <w:p w:rsidR="00F721FF" w:rsidRDefault="00AE7DC8">
      <w:pPr>
        <w:pStyle w:val="Heading1"/>
      </w:pPr>
      <w:r>
        <w:rPr>
          <w:rFonts w:ascii="Arial" w:hAnsi="Arial"/>
          <w:color w:val="0F172A"/>
          <w:sz w:val="26"/>
        </w:rPr>
        <w:t>1. Distinction of Fee Categories</w:t>
      </w:r>
    </w:p>
    <w:p w:rsidR="00F721FF" w:rsidRDefault="00AE7DC8">
      <w:pPr>
        <w:spacing w:after="120"/>
      </w:pPr>
      <w:r>
        <w:t>Every corporate proposal and invoice issued by AeroTeleConsult must clearly distinguish between two types of costs:</w:t>
      </w:r>
    </w:p>
    <w:p w:rsidR="00F721FF" w:rsidRDefault="00AE7DC8">
      <w:pPr>
        <w:pStyle w:val="ListBullet"/>
      </w:pPr>
      <w:r>
        <w:rPr>
          <w:b/>
        </w:rPr>
        <w:t>1. Professional Secretariat &amp; Engineering Fees (AeroTeleConsult Revenue):</w:t>
      </w:r>
      <w:r>
        <w:rPr>
          <w:b/>
        </w:rPr>
        <w:br/>
      </w:r>
      <w:r>
        <w:t>Covers RF engine</w:t>
      </w:r>
      <w:r>
        <w:t>ering assessments, interference analysis, airframe transponder/ELT audits, compliance dossier preparation, 30% local equity structuring, and board-level secretariat representation.</w:t>
      </w:r>
    </w:p>
    <w:p w:rsidR="00F721FF" w:rsidRDefault="00AE7DC8">
      <w:pPr>
        <w:pStyle w:val="ListBullet"/>
        <w:spacing w:after="280"/>
      </w:pPr>
      <w:r>
        <w:rPr>
          <w:b/>
        </w:rPr>
        <w:t>2. Statutory Disbursements (Government Fees to CA &amp; KCAA):</w:t>
      </w:r>
      <w:r>
        <w:rPr>
          <w:b/>
        </w:rPr>
        <w:br/>
      </w:r>
      <w:r>
        <w:t>Covers statutory</w:t>
      </w:r>
      <w:r>
        <w:t xml:space="preserve"> application fees, initial frequency grant fees, station inspection fees, and annual operating charges. These must be collected in advance (escrow) or paid directly by the client via the official government portal.</w:t>
      </w:r>
    </w:p>
    <w:p w:rsidR="00F721FF" w:rsidRDefault="00AE7DC8">
      <w:pPr>
        <w:pStyle w:val="Heading1"/>
      </w:pPr>
      <w:r>
        <w:rPr>
          <w:rFonts w:ascii="Arial" w:hAnsi="Arial"/>
          <w:color w:val="0F172A"/>
          <w:sz w:val="26"/>
        </w:rPr>
        <w:t xml:space="preserve">2. Recommended 3-Stage Milestone Billing </w:t>
      </w:r>
      <w:r>
        <w:rPr>
          <w:rFonts w:ascii="Arial" w:hAnsi="Arial"/>
          <w:color w:val="0F172A"/>
          <w:sz w:val="26"/>
        </w:rPr>
        <w:t>Model</w:t>
      </w:r>
    </w:p>
    <w:p w:rsidR="00F721FF" w:rsidRDefault="00AE7DC8">
      <w:pPr>
        <w:spacing w:after="160"/>
      </w:pPr>
      <w:r>
        <w:t>Engagements should follow a structured three-tier milestone model tied directly to client tracking tickets (ATC-XXXXXX):</w:t>
      </w:r>
    </w:p>
    <w:tbl>
      <w:tblPr>
        <w:tblW w:w="0" w:type="auto"/>
        <w:jc w:val="center"/>
        <w:tblLayout w:type="fixed"/>
        <w:tblLook w:val="04A0" w:firstRow="1" w:lastRow="0" w:firstColumn="1" w:lastColumn="0" w:noHBand="0" w:noVBand="1"/>
      </w:tblPr>
      <w:tblGrid>
        <w:gridCol w:w="1872"/>
        <w:gridCol w:w="2160"/>
        <w:gridCol w:w="1296"/>
        <w:gridCol w:w="4032"/>
      </w:tblGrid>
      <w:tr w:rsidR="00F721FF">
        <w:trPr>
          <w:jc w:val="center"/>
        </w:trPr>
        <w:tc>
          <w:tcPr>
            <w:tcW w:w="1872" w:type="dxa"/>
            <w:shd w:val="clear" w:color="auto" w:fill="0F172A"/>
            <w:tcMar>
              <w:top w:w="120" w:type="dxa"/>
              <w:left w:w="120" w:type="dxa"/>
              <w:bottom w:w="120" w:type="dxa"/>
              <w:right w:w="120" w:type="dxa"/>
            </w:tcMar>
          </w:tcPr>
          <w:p w:rsidR="00F721FF" w:rsidRDefault="00AE7DC8">
            <w:r>
              <w:rPr>
                <w:b/>
                <w:color w:val="FFFFFF"/>
                <w:sz w:val="18"/>
              </w:rPr>
              <w:t>Milestone Stage</w:t>
            </w:r>
          </w:p>
        </w:tc>
        <w:tc>
          <w:tcPr>
            <w:tcW w:w="2160" w:type="dxa"/>
            <w:shd w:val="clear" w:color="auto" w:fill="0F172A"/>
            <w:tcMar>
              <w:top w:w="120" w:type="dxa"/>
              <w:left w:w="120" w:type="dxa"/>
              <w:bottom w:w="120" w:type="dxa"/>
              <w:right w:w="120" w:type="dxa"/>
            </w:tcMar>
          </w:tcPr>
          <w:p w:rsidR="00F721FF" w:rsidRDefault="00AE7DC8">
            <w:r>
              <w:rPr>
                <w:b/>
                <w:color w:val="FFFFFF"/>
                <w:sz w:val="18"/>
              </w:rPr>
              <w:t>Trigger Event</w:t>
            </w:r>
          </w:p>
        </w:tc>
        <w:tc>
          <w:tcPr>
            <w:tcW w:w="1296" w:type="dxa"/>
            <w:shd w:val="clear" w:color="auto" w:fill="0F172A"/>
            <w:tcMar>
              <w:top w:w="120" w:type="dxa"/>
              <w:left w:w="120" w:type="dxa"/>
              <w:bottom w:w="120" w:type="dxa"/>
              <w:right w:w="120" w:type="dxa"/>
            </w:tcMar>
          </w:tcPr>
          <w:p w:rsidR="00F721FF" w:rsidRDefault="00AE7DC8">
            <w:r>
              <w:rPr>
                <w:b/>
                <w:color w:val="FFFFFF"/>
                <w:sz w:val="18"/>
              </w:rPr>
              <w:t>Share (%)</w:t>
            </w:r>
          </w:p>
        </w:tc>
        <w:tc>
          <w:tcPr>
            <w:tcW w:w="4032" w:type="dxa"/>
            <w:shd w:val="clear" w:color="auto" w:fill="0F172A"/>
            <w:tcMar>
              <w:top w:w="120" w:type="dxa"/>
              <w:left w:w="120" w:type="dxa"/>
              <w:bottom w:w="120" w:type="dxa"/>
              <w:right w:w="120" w:type="dxa"/>
            </w:tcMar>
          </w:tcPr>
          <w:p w:rsidR="00F721FF" w:rsidRDefault="00AE7DC8">
            <w:r>
              <w:rPr>
                <w:b/>
                <w:color w:val="FFFFFF"/>
                <w:sz w:val="18"/>
              </w:rPr>
              <w:t>Deliverable / Action</w:t>
            </w:r>
          </w:p>
        </w:tc>
      </w:tr>
      <w:tr w:rsidR="00F721FF">
        <w:trPr>
          <w:jc w:val="center"/>
        </w:trPr>
        <w:tc>
          <w:tcPr>
            <w:tcW w:w="1872" w:type="dxa"/>
            <w:shd w:val="clear" w:color="auto" w:fill="F8FAFC"/>
            <w:tcMar>
              <w:top w:w="100" w:type="dxa"/>
              <w:left w:w="100" w:type="dxa"/>
              <w:bottom w:w="100" w:type="dxa"/>
              <w:right w:w="100" w:type="dxa"/>
            </w:tcMar>
          </w:tcPr>
          <w:p w:rsidR="00F721FF" w:rsidRDefault="00AE7DC8">
            <w:r>
              <w:rPr>
                <w:color w:val="1E293B"/>
                <w:sz w:val="17"/>
              </w:rPr>
              <w:t>Stage 1:</w:t>
            </w:r>
            <w:r>
              <w:rPr>
                <w:color w:val="1E293B"/>
                <w:sz w:val="17"/>
              </w:rPr>
              <w:br/>
              <w:t>Retainer / Intake</w:t>
            </w:r>
          </w:p>
        </w:tc>
        <w:tc>
          <w:tcPr>
            <w:tcW w:w="2160" w:type="dxa"/>
            <w:shd w:val="clear" w:color="auto" w:fill="F8FAFC"/>
            <w:tcMar>
              <w:top w:w="100" w:type="dxa"/>
              <w:left w:w="100" w:type="dxa"/>
              <w:bottom w:w="100" w:type="dxa"/>
              <w:right w:w="100" w:type="dxa"/>
            </w:tcMar>
          </w:tcPr>
          <w:p w:rsidR="00F721FF" w:rsidRDefault="00AE7DC8">
            <w:r>
              <w:rPr>
                <w:color w:val="1E293B"/>
                <w:sz w:val="17"/>
              </w:rPr>
              <w:t>Ticket Issuance &amp; Signed Engagement</w:t>
            </w:r>
          </w:p>
        </w:tc>
        <w:tc>
          <w:tcPr>
            <w:tcW w:w="1296" w:type="dxa"/>
            <w:shd w:val="clear" w:color="auto" w:fill="F8FAFC"/>
            <w:tcMar>
              <w:top w:w="100" w:type="dxa"/>
              <w:left w:w="100" w:type="dxa"/>
              <w:bottom w:w="100" w:type="dxa"/>
              <w:right w:w="100" w:type="dxa"/>
            </w:tcMar>
          </w:tcPr>
          <w:p w:rsidR="00F721FF" w:rsidRDefault="00AE7DC8">
            <w:r>
              <w:rPr>
                <w:color w:val="1E293B"/>
                <w:sz w:val="17"/>
              </w:rPr>
              <w:t>50%</w:t>
            </w:r>
          </w:p>
        </w:tc>
        <w:tc>
          <w:tcPr>
            <w:tcW w:w="4032" w:type="dxa"/>
            <w:shd w:val="clear" w:color="auto" w:fill="F8FAFC"/>
            <w:tcMar>
              <w:top w:w="100" w:type="dxa"/>
              <w:left w:w="100" w:type="dxa"/>
              <w:bottom w:w="100" w:type="dxa"/>
              <w:right w:w="100" w:type="dxa"/>
            </w:tcMar>
          </w:tcPr>
          <w:p w:rsidR="00F721FF" w:rsidRDefault="00AE7DC8">
            <w:r>
              <w:rPr>
                <w:color w:val="1E293B"/>
                <w:sz w:val="17"/>
              </w:rPr>
              <w:t>Dossier preparation, engineering audit, frequency plan compilation, statutory form completion.</w:t>
            </w:r>
          </w:p>
        </w:tc>
      </w:tr>
      <w:tr w:rsidR="00F721FF">
        <w:trPr>
          <w:jc w:val="center"/>
        </w:trPr>
        <w:tc>
          <w:tcPr>
            <w:tcW w:w="1872" w:type="dxa"/>
            <w:shd w:val="clear" w:color="auto" w:fill="FFFFFF"/>
            <w:tcMar>
              <w:top w:w="100" w:type="dxa"/>
              <w:left w:w="100" w:type="dxa"/>
              <w:bottom w:w="100" w:type="dxa"/>
              <w:right w:w="100" w:type="dxa"/>
            </w:tcMar>
          </w:tcPr>
          <w:p w:rsidR="00F721FF" w:rsidRDefault="00AE7DC8">
            <w:r>
              <w:rPr>
                <w:color w:val="1E293B"/>
                <w:sz w:val="17"/>
              </w:rPr>
              <w:t>Stage 2:</w:t>
            </w:r>
            <w:r>
              <w:rPr>
                <w:color w:val="1E293B"/>
                <w:sz w:val="17"/>
              </w:rPr>
              <w:br/>
              <w:t>Formal Lodgment</w:t>
            </w:r>
          </w:p>
        </w:tc>
        <w:tc>
          <w:tcPr>
            <w:tcW w:w="2160" w:type="dxa"/>
            <w:shd w:val="clear" w:color="auto" w:fill="FFFFFF"/>
            <w:tcMar>
              <w:top w:w="100" w:type="dxa"/>
              <w:left w:w="100" w:type="dxa"/>
              <w:bottom w:w="100" w:type="dxa"/>
              <w:right w:w="100" w:type="dxa"/>
            </w:tcMar>
          </w:tcPr>
          <w:p w:rsidR="00F721FF" w:rsidRDefault="00AE7DC8">
            <w:r>
              <w:rPr>
                <w:color w:val="1E293B"/>
                <w:sz w:val="17"/>
              </w:rPr>
              <w:t>Formal Submission to CA / KCAA</w:t>
            </w:r>
          </w:p>
        </w:tc>
        <w:tc>
          <w:tcPr>
            <w:tcW w:w="1296" w:type="dxa"/>
            <w:shd w:val="clear" w:color="auto" w:fill="FFFFFF"/>
            <w:tcMar>
              <w:top w:w="100" w:type="dxa"/>
              <w:left w:w="100" w:type="dxa"/>
              <w:bottom w:w="100" w:type="dxa"/>
              <w:right w:w="100" w:type="dxa"/>
            </w:tcMar>
          </w:tcPr>
          <w:p w:rsidR="00F721FF" w:rsidRDefault="00AE7DC8">
            <w:r>
              <w:rPr>
                <w:color w:val="1E293B"/>
                <w:sz w:val="17"/>
              </w:rPr>
              <w:t>30%</w:t>
            </w:r>
          </w:p>
        </w:tc>
        <w:tc>
          <w:tcPr>
            <w:tcW w:w="4032" w:type="dxa"/>
            <w:shd w:val="clear" w:color="auto" w:fill="FFFFFF"/>
            <w:tcMar>
              <w:top w:w="100" w:type="dxa"/>
              <w:left w:w="100" w:type="dxa"/>
              <w:bottom w:w="100" w:type="dxa"/>
              <w:right w:w="100" w:type="dxa"/>
            </w:tcMar>
          </w:tcPr>
          <w:p w:rsidR="00F721FF" w:rsidRDefault="00AE7DC8">
            <w:r>
              <w:rPr>
                <w:color w:val="1E293B"/>
                <w:sz w:val="17"/>
              </w:rPr>
              <w:t>Official stamped submission receipt, statutory tracking ticket lodgment notice delivered to client.</w:t>
            </w:r>
          </w:p>
        </w:tc>
      </w:tr>
      <w:tr w:rsidR="00F721FF">
        <w:trPr>
          <w:jc w:val="center"/>
        </w:trPr>
        <w:tc>
          <w:tcPr>
            <w:tcW w:w="1872" w:type="dxa"/>
            <w:shd w:val="clear" w:color="auto" w:fill="F8FAFC"/>
            <w:tcMar>
              <w:top w:w="100" w:type="dxa"/>
              <w:left w:w="100" w:type="dxa"/>
              <w:bottom w:w="100" w:type="dxa"/>
              <w:right w:w="100" w:type="dxa"/>
            </w:tcMar>
          </w:tcPr>
          <w:p w:rsidR="00F721FF" w:rsidRDefault="00AE7DC8">
            <w:r>
              <w:rPr>
                <w:color w:val="1E293B"/>
                <w:sz w:val="17"/>
              </w:rPr>
              <w:t>Stage 3:</w:t>
            </w:r>
            <w:r>
              <w:rPr>
                <w:color w:val="1E293B"/>
                <w:sz w:val="17"/>
              </w:rPr>
              <w:br/>
              <w:t>Grant &amp; Handover</w:t>
            </w:r>
          </w:p>
        </w:tc>
        <w:tc>
          <w:tcPr>
            <w:tcW w:w="2160" w:type="dxa"/>
            <w:shd w:val="clear" w:color="auto" w:fill="F8FAFC"/>
            <w:tcMar>
              <w:top w:w="100" w:type="dxa"/>
              <w:left w:w="100" w:type="dxa"/>
              <w:bottom w:w="100" w:type="dxa"/>
              <w:right w:w="100" w:type="dxa"/>
            </w:tcMar>
          </w:tcPr>
          <w:p w:rsidR="00F721FF" w:rsidRDefault="00AE7DC8">
            <w:r>
              <w:rPr>
                <w:color w:val="1E293B"/>
                <w:sz w:val="17"/>
              </w:rPr>
              <w:t>Statutory License / Permit Issued</w:t>
            </w:r>
          </w:p>
        </w:tc>
        <w:tc>
          <w:tcPr>
            <w:tcW w:w="1296" w:type="dxa"/>
            <w:shd w:val="clear" w:color="auto" w:fill="F8FAFC"/>
            <w:tcMar>
              <w:top w:w="100" w:type="dxa"/>
              <w:left w:w="100" w:type="dxa"/>
              <w:bottom w:w="100" w:type="dxa"/>
              <w:right w:w="100" w:type="dxa"/>
            </w:tcMar>
          </w:tcPr>
          <w:p w:rsidR="00F721FF" w:rsidRDefault="00AE7DC8">
            <w:r>
              <w:rPr>
                <w:color w:val="1E293B"/>
                <w:sz w:val="17"/>
              </w:rPr>
              <w:t>20%</w:t>
            </w:r>
          </w:p>
        </w:tc>
        <w:tc>
          <w:tcPr>
            <w:tcW w:w="4032" w:type="dxa"/>
            <w:shd w:val="clear" w:color="auto" w:fill="F8FAFC"/>
            <w:tcMar>
              <w:top w:w="100" w:type="dxa"/>
              <w:left w:w="100" w:type="dxa"/>
              <w:bottom w:w="100" w:type="dxa"/>
              <w:right w:w="100" w:type="dxa"/>
            </w:tcMar>
          </w:tcPr>
          <w:p w:rsidR="00F721FF" w:rsidRDefault="00AE7DC8">
            <w:r>
              <w:rPr>
                <w:color w:val="1E293B"/>
                <w:sz w:val="17"/>
              </w:rPr>
              <w:t>Delivery of physical/digital Station License, Call Sign Allocation, or Airworthiness RF validation sign-off.</w:t>
            </w:r>
          </w:p>
        </w:tc>
      </w:tr>
    </w:tbl>
    <w:p w:rsidR="00F721FF" w:rsidRDefault="00F721FF">
      <w:pPr>
        <w:spacing w:after="240"/>
      </w:pPr>
    </w:p>
    <w:p w:rsidR="00F721FF" w:rsidRDefault="00AE7DC8">
      <w:pPr>
        <w:pStyle w:val="Heading1"/>
      </w:pPr>
      <w:r>
        <w:rPr>
          <w:rFonts w:ascii="Arial" w:hAnsi="Arial"/>
          <w:color w:val="0F172A"/>
          <w:sz w:val="26"/>
        </w:rPr>
        <w:t>3. Pricing &amp; Billing Vectors by Industry Sector</w:t>
      </w:r>
    </w:p>
    <w:p w:rsidR="00F721FF" w:rsidRDefault="00AE7DC8">
      <w:pPr>
        <w:spacing w:after="40"/>
      </w:pPr>
      <w:r>
        <w:rPr>
          <w:b/>
          <w:color w:val="1D4ED8"/>
          <w:sz w:val="21"/>
        </w:rPr>
        <w:t>• Aviation Fleet &amp; Aircraft (KCA</w:t>
      </w:r>
      <w:r>
        <w:rPr>
          <w:b/>
          <w:color w:val="1D4ED8"/>
          <w:sz w:val="21"/>
        </w:rPr>
        <w:t>A &amp; CA Dual Compliance)</w:t>
      </w:r>
    </w:p>
    <w:p w:rsidR="00F721FF" w:rsidRDefault="00AE7DC8">
      <w:pPr>
        <w:pStyle w:val="ListBullet2"/>
        <w:spacing w:after="40"/>
      </w:pPr>
      <w:r>
        <w:rPr>
          <w:b/>
          <w:sz w:val="18"/>
        </w:rPr>
        <w:t xml:space="preserve">Pricing Structure: </w:t>
      </w:r>
      <w:r>
        <w:rPr>
          <w:color w:val="1E293B"/>
          <w:sz w:val="18"/>
        </w:rPr>
        <w:t>Per-Airframe / Tail Mark Flat Rate (e.g. 5Y-ABC).</w:t>
      </w:r>
    </w:p>
    <w:p w:rsidR="00F721FF" w:rsidRDefault="00AE7DC8">
      <w:pPr>
        <w:pStyle w:val="ListBullet2"/>
        <w:spacing w:after="40"/>
      </w:pPr>
      <w:r>
        <w:rPr>
          <w:b/>
          <w:sz w:val="18"/>
        </w:rPr>
        <w:t xml:space="preserve">Package Inclusions: </w:t>
      </w:r>
      <w:r>
        <w:rPr>
          <w:color w:val="1E293B"/>
          <w:sz w:val="18"/>
        </w:rPr>
        <w:t>Airborne VHF/HF station licensing, Mode-S transponder registration, ELT coding validation, and KCAA/CA synchronized authorization.</w:t>
      </w:r>
    </w:p>
    <w:p w:rsidR="00F721FF" w:rsidRDefault="00AE7DC8">
      <w:pPr>
        <w:pStyle w:val="ListBullet2"/>
        <w:spacing w:after="40"/>
      </w:pPr>
      <w:r>
        <w:rPr>
          <w:b/>
          <w:sz w:val="18"/>
        </w:rPr>
        <w:t xml:space="preserve">Annual Fleet Retainer: </w:t>
      </w:r>
      <w:r>
        <w:rPr>
          <w:color w:val="1E293B"/>
          <w:sz w:val="18"/>
        </w:rPr>
        <w:t>Offer an annual spectrum compliance retainer per airframe to handle mandatory yearly renewals and avoid grounding of commercial fleets.</w:t>
      </w:r>
    </w:p>
    <w:p w:rsidR="00F721FF" w:rsidRDefault="00AE7DC8">
      <w:pPr>
        <w:spacing w:after="40"/>
      </w:pPr>
      <w:r>
        <w:rPr>
          <w:b/>
          <w:color w:val="1D4ED8"/>
          <w:sz w:val="21"/>
        </w:rPr>
        <w:t>• Telecom Operators (CA NFP Tier 1-3, ASP, CSP, MVNO)</w:t>
      </w:r>
    </w:p>
    <w:p w:rsidR="00F721FF" w:rsidRDefault="00AE7DC8">
      <w:pPr>
        <w:pStyle w:val="ListBullet2"/>
        <w:spacing w:after="40"/>
      </w:pPr>
      <w:r>
        <w:rPr>
          <w:b/>
          <w:sz w:val="18"/>
        </w:rPr>
        <w:t xml:space="preserve">Pricing Structure: </w:t>
      </w:r>
      <w:r>
        <w:rPr>
          <w:color w:val="1E293B"/>
          <w:sz w:val="18"/>
        </w:rPr>
        <w:t>Fixed Project Engagement</w:t>
      </w:r>
      <w:r>
        <w:rPr>
          <w:color w:val="1E293B"/>
          <w:sz w:val="18"/>
        </w:rPr>
        <w:t xml:space="preserve"> Fee + Equity Structuring Advisory.</w:t>
      </w:r>
    </w:p>
    <w:p w:rsidR="00F721FF" w:rsidRDefault="00AE7DC8">
      <w:pPr>
        <w:pStyle w:val="ListBullet2"/>
        <w:spacing w:after="40"/>
      </w:pPr>
      <w:r>
        <w:rPr>
          <w:b/>
          <w:sz w:val="18"/>
        </w:rPr>
        <w:t xml:space="preserve">Turnkey Filings: </w:t>
      </w:r>
      <w:r>
        <w:rPr>
          <w:color w:val="1E293B"/>
          <w:sz w:val="18"/>
        </w:rPr>
        <w:t>Infrastructure licensing, spectrum band allocation, technical network design filings.</w:t>
      </w:r>
    </w:p>
    <w:p w:rsidR="00F721FF" w:rsidRDefault="00AE7DC8">
      <w:pPr>
        <w:pStyle w:val="ListBullet2"/>
        <w:spacing w:after="40"/>
      </w:pPr>
      <w:r>
        <w:rPr>
          <w:b/>
          <w:sz w:val="18"/>
        </w:rPr>
        <w:t xml:space="preserve">30% Local Equity Structuring: </w:t>
      </w:r>
      <w:r>
        <w:rPr>
          <w:color w:val="1E293B"/>
          <w:sz w:val="18"/>
        </w:rPr>
        <w:t xml:space="preserve">Separate legal and commercial equity advisory for foreign carriers entering the Kenyan </w:t>
      </w:r>
      <w:r>
        <w:rPr>
          <w:color w:val="1E293B"/>
          <w:sz w:val="18"/>
        </w:rPr>
        <w:t>market under Kenya Information &amp; Communications Act statutory mandates.</w:t>
      </w:r>
    </w:p>
    <w:p w:rsidR="00F721FF" w:rsidRDefault="00AE7DC8">
      <w:pPr>
        <w:spacing w:after="40"/>
      </w:pPr>
      <w:r>
        <w:rPr>
          <w:b/>
          <w:color w:val="1D4ED8"/>
          <w:sz w:val="21"/>
        </w:rPr>
        <w:t>• Private Mobile Radio (PMR VHF/UHF Networks)</w:t>
      </w:r>
    </w:p>
    <w:p w:rsidR="00F721FF" w:rsidRDefault="00AE7DC8">
      <w:pPr>
        <w:pStyle w:val="ListBullet2"/>
        <w:spacing w:after="40"/>
      </w:pPr>
      <w:r>
        <w:rPr>
          <w:b/>
          <w:sz w:val="18"/>
        </w:rPr>
        <w:t xml:space="preserve">Pricing Structure: </w:t>
      </w:r>
      <w:r>
        <w:rPr>
          <w:color w:val="1E293B"/>
          <w:sz w:val="18"/>
        </w:rPr>
        <w:t>Base Engineering Fee + Per-Frequency / Repeater Channel Assignment Rate.</w:t>
      </w:r>
    </w:p>
    <w:p w:rsidR="00F721FF" w:rsidRDefault="00AE7DC8">
      <w:pPr>
        <w:pStyle w:val="ListBullet2"/>
        <w:spacing w:after="40"/>
      </w:pPr>
      <w:r>
        <w:rPr>
          <w:b/>
          <w:sz w:val="18"/>
        </w:rPr>
        <w:t xml:space="preserve">Target Sectors: </w:t>
      </w:r>
      <w:r>
        <w:rPr>
          <w:color w:val="1E293B"/>
          <w:sz w:val="18"/>
        </w:rPr>
        <w:t>Mining concessions, private se</w:t>
      </w:r>
      <w:r>
        <w:rPr>
          <w:color w:val="1E293B"/>
          <w:sz w:val="18"/>
        </w:rPr>
        <w:t>curity, logistics parks, remote conservancies.</w:t>
      </w:r>
    </w:p>
    <w:p w:rsidR="00F721FF" w:rsidRDefault="00AE7DC8">
      <w:pPr>
        <w:pStyle w:val="ListBullet2"/>
        <w:spacing w:after="40"/>
      </w:pPr>
      <w:r>
        <w:rPr>
          <w:b/>
          <w:sz w:val="18"/>
        </w:rPr>
        <w:t xml:space="preserve">Billing Trigger: </w:t>
      </w:r>
      <w:r>
        <w:rPr>
          <w:color w:val="1E293B"/>
          <w:sz w:val="18"/>
        </w:rPr>
        <w:t>50% upfront for propagation analysis &amp; CA coordination; 50% upon frequency assignment certificate.</w:t>
      </w:r>
    </w:p>
    <w:p w:rsidR="00F721FF" w:rsidRDefault="00F721FF">
      <w:pPr>
        <w:spacing w:after="160"/>
      </w:pPr>
    </w:p>
    <w:p w:rsidR="00F721FF" w:rsidRDefault="00AE7DC8">
      <w:pPr>
        <w:pStyle w:val="Heading1"/>
      </w:pPr>
      <w:r>
        <w:rPr>
          <w:rFonts w:ascii="Arial" w:hAnsi="Arial"/>
          <w:color w:val="0F172A"/>
          <w:sz w:val="26"/>
        </w:rPr>
        <w:t>4. Invoicing Protocol &amp; Kenyan Regulatory Tax Compliance</w:t>
      </w:r>
    </w:p>
    <w:p w:rsidR="00F721FF" w:rsidRDefault="00AE7DC8">
      <w:pPr>
        <w:pStyle w:val="ListBullet"/>
        <w:spacing w:after="80"/>
      </w:pPr>
      <w:r>
        <w:rPr>
          <w:b/>
          <w:sz w:val="19"/>
        </w:rPr>
        <w:t xml:space="preserve">Proforma Invoice (PI): </w:t>
      </w:r>
      <w:r>
        <w:rPr>
          <w:color w:val="1E293B"/>
          <w:sz w:val="19"/>
        </w:rPr>
        <w:t xml:space="preserve">Immediately </w:t>
      </w:r>
      <w:r>
        <w:rPr>
          <w:color w:val="1E293B"/>
          <w:sz w:val="19"/>
        </w:rPr>
        <w:t>issued upon ticket generation (ATC-XXXXXX). Outlines the 50% retainer fee and any estimated statutory fees. Valid for 14 calendar days.</w:t>
      </w:r>
    </w:p>
    <w:p w:rsidR="00F721FF" w:rsidRDefault="00AE7DC8">
      <w:pPr>
        <w:pStyle w:val="ListBullet"/>
        <w:spacing w:after="80"/>
      </w:pPr>
      <w:r>
        <w:rPr>
          <w:b/>
          <w:sz w:val="19"/>
        </w:rPr>
        <w:t xml:space="preserve">eTIMS Tax Invoice: </w:t>
      </w:r>
      <w:r>
        <w:rPr>
          <w:color w:val="1E293B"/>
          <w:sz w:val="19"/>
        </w:rPr>
        <w:t>Upon confirmation of payment, generate an electronic tax invoice compliant with Kenya Revenue Authori</w:t>
      </w:r>
      <w:r>
        <w:rPr>
          <w:color w:val="1E293B"/>
          <w:sz w:val="19"/>
        </w:rPr>
        <w:t>ty (KRA) eTIMS regulations.</w:t>
      </w:r>
    </w:p>
    <w:p w:rsidR="00F721FF" w:rsidRDefault="00AE7DC8">
      <w:pPr>
        <w:pStyle w:val="ListBullet"/>
        <w:spacing w:after="80"/>
      </w:pPr>
      <w:r>
        <w:rPr>
          <w:b/>
          <w:sz w:val="19"/>
        </w:rPr>
        <w:t xml:space="preserve">Accepted Payment Channels: </w:t>
      </w:r>
      <w:r>
        <w:rPr>
          <w:color w:val="1E293B"/>
          <w:sz w:val="19"/>
        </w:rPr>
        <w:t>Direct Bank Wire / RTGS to Corporate Bank Account for institutional and telecom accounts; Corporate M-Pesa Paybill / Till Number for rapid aviation station renewals; PesaLink for instant interbank sett</w:t>
      </w:r>
      <w:r>
        <w:rPr>
          <w:color w:val="1E293B"/>
          <w:sz w:val="19"/>
        </w:rPr>
        <w:t>lement.</w:t>
      </w:r>
    </w:p>
    <w:p w:rsidR="00F721FF" w:rsidRDefault="00F721FF">
      <w:pPr>
        <w:spacing w:after="280"/>
      </w:pPr>
    </w:p>
    <w:p w:rsidR="00F721FF" w:rsidRDefault="00AE7DC8">
      <w:pPr>
        <w:jc w:val="center"/>
      </w:pPr>
      <w:r>
        <w:rPr>
          <w:color w:val="64748B"/>
          <w:sz w:val="17"/>
        </w:rPr>
        <w:t>AeroTeleConsult Kenya • Nairobi, Kenya • info@aeroteleconsult.co.ke • +254 726 661 849</w:t>
      </w:r>
    </w:p>
    <w:sectPr w:rsidR="00F721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AE7DC8"/>
    <w:rsid w:val="00B47730"/>
    <w:rsid w:val="00CB0664"/>
    <w:rsid w:val="00F72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234A0A-94CE-4D37-AB80-23F5686A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77064-12E0-4D66-827C-93D740519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 Ricard</cp:lastModifiedBy>
  <cp:revision>2</cp:revision>
  <dcterms:created xsi:type="dcterms:W3CDTF">2026-08-31T17:54:00Z</dcterms:created>
  <dcterms:modified xsi:type="dcterms:W3CDTF">2026-08-31T17:54:00Z</dcterms:modified>
  <cp:category/>
</cp:coreProperties>
</file>