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0E1A26"/>
          <w:sz w:val="52"/>
        </w:rPr>
        <w:t>Mar Menor — Earth Observation Workshop</w:t>
      </w:r>
    </w:p>
    <w:p>
      <w:r>
        <w:rPr>
          <w:rFonts w:ascii="Georgia" w:hAnsi="Georgia"/>
          <w:i/>
          <w:color w:val="C2410C"/>
          <w:sz w:val="32"/>
        </w:rPr>
        <w:t>Instructor Study Guide &amp; Teaching Script</w:t>
      </w:r>
    </w:p>
    <w:p>
      <w:r>
        <w:rPr>
          <w:color w:val="6B6157"/>
          <w:sz w:val="24"/>
        </w:rPr>
        <w:t>What to say, why it matters, and the questions you'll get — section by section across all three notebooks.</w:t>
      </w:r>
    </w:p>
    <w:p/>
    <w:p>
      <w:r>
        <w:rPr>
          <w:b/>
          <w:color w:val="C2410C"/>
        </w:rPr>
        <w:t xml:space="preserve">How to use this guide: </w:t>
      </w:r>
      <w:r>
        <w:t>Each notebook section below has four parts — a one-line summary, a ready-to-speak explanation, the reason it matters, and the questions students tend to ask with model answers. Read it once end-to-end to own the narrative; skim the bold labels in the room. Pair it with the slide decks (slides/module1–3) and the live notebooks.</w:t>
      </w:r>
    </w:p>
    <w:p>
      <w:r>
        <w:rPr>
          <w:b/>
          <w:color w:val="C2410C"/>
        </w:rPr>
        <w:t xml:space="preserve">The through-line: </w:t>
      </w:r>
      <w:r>
        <w:t>Three notebooks, one lagoon. Module 1 reads the lagoon from space; Module 2 validates that against the buoys and adds machine learning; Module 3 teaches students to build the whole data layer themselves. Everything centres on the Mar Menor's documented crises (2016, 2019 DANA, 2021 fish-kill, 2025 resurgence).</w:t>
      </w:r>
    </w:p>
    <w:p>
      <w:pPr>
        <w:pStyle w:val="Heading1"/>
        <w:pageBreakBefore/>
      </w:pPr>
      <w:r>
        <w:t>Part 0 — The story you are telling</w:t>
      </w:r>
    </w:p>
    <w:p>
      <w:r>
        <w:rPr>
          <w:i w:val="0"/>
        </w:rPr>
        <w:t>The Mar Menor is Europe's largest hypersaline coastal lagoon: ~135 km², max depth 7 m, separated from the Mediterranean by La Manga, a 22 km sand bar. Decades of nitrate runoff from the Campo de Cartagena agriculture, plus episodic DANA floods and rising Mediterranean temperatures, have tipped it into repeated eutrophication crises. Every collapse is visible from orbit at 10-metre resolution — which is exactly why it is a perfect teaching case.</w:t>
      </w:r>
    </w:p>
    <w:p>
      <w:r>
        <w:rPr>
          <w:b/>
          <w:color w:val="C2410C"/>
        </w:rPr>
        <w:t xml:space="preserve">The arc to keep in your head: </w:t>
      </w:r>
      <w:r>
        <w:t>pressure (nutrients) → trigger (heat / flood) → bloom (chlorophyll) → oxygen collapse (anoxia) → fish-kill. Each module illuminates part of this chain with a different data source.</w:t>
      </w:r>
    </w:p>
    <w:p>
      <w:r>
        <w:rPr>
          <w:b/>
          <w:color w:val="C2410C"/>
        </w:rPr>
        <w:t xml:space="preserve">One honest framing to repeat: </w:t>
      </w:r>
      <w:r>
        <w:t>Earth observation can shorten the loop from signal to decision, but the slow variable is the politics. Every algorithm here already runs in someone's pipeline in Murcia; the lagoon still degrades. Hold that tension — it keeps the technical work grounded.</w:t>
      </w:r>
    </w:p>
    <w:p>
      <w:pPr>
        <w:pStyle w:val="Heading1"/>
        <w:pageBreakBefore/>
      </w:pPr>
      <w:r>
        <w:t>Module 1 — Satellite Data Extraction</w:t>
      </w:r>
    </w:p>
    <w:p>
      <w:r>
        <w:rPr>
          <w:i w:val="0"/>
        </w:rPr>
        <w:t>Goal: from raw Sentinel reflectance to the visible fingerprints of the collapse. The notebook is split into three sections — A (synthetic, runs offline), B (the real CDSE/STAC workflow, shown not run), C (figures from real downloaded Sentinel-2 scenes).</w:t>
      </w:r>
    </w:p>
    <w:p>
      <w:pPr>
        <w:pStyle w:val="Heading2"/>
      </w:pPr>
      <w:r>
        <w:t>Setup, dependency check and the A/B/C split</w:t>
      </w:r>
    </w:p>
    <w:p>
      <w:r>
        <w:rPr>
          <w:b/>
          <w:color w:val="C2410C"/>
        </w:rPr>
        <w:t xml:space="preserve">In one line: </w:t>
      </w:r>
      <w:r>
        <w:t>The notebook fails fast if a package or data file is missing, then declares its three-section structure.</w:t>
      </w:r>
    </w:p>
    <w:p>
      <w:r>
        <w:rPr>
          <w:b/>
          <w:color w:val="115E59"/>
        </w:rPr>
        <w:t xml:space="preserve">What to say: </w:t>
      </w:r>
      <w:r>
        <w:t>Start by pointing at the header table: Section A runs with no internet, Section B needs a free account, Section C needs the real GeoTIFFs (and self-skips if they're absent). Run the setup cell; it checks numpy/pandas/rasterio etc. and loads the lagoon outline.</w:t>
      </w:r>
    </w:p>
    <w:p>
      <w:r>
        <w:rPr>
          <w:b/>
          <w:color w:val="115E59"/>
        </w:rPr>
        <w:t xml:space="preserve">Why it matters: </w:t>
      </w:r>
      <w:r>
        <w:t>It directly answers a reviewer concern that synthetic and real data were mixed. The fail-fast checks mean a student never debugs a cryptic error halfway through.</w:t>
      </w:r>
    </w:p>
    <w:p>
      <w:r>
        <w:rPr>
          <w:b/>
          <w:color w:val="115E59"/>
        </w:rPr>
        <w:t>Likely questions</w:t>
      </w:r>
    </w:p>
    <w:p>
      <w:pPr>
        <w:spacing w:after="40"/>
      </w:pPr>
      <w:r>
        <w:rPr>
          <w:b/>
          <w:color w:val="C2410C"/>
        </w:rPr>
        <w:t xml:space="preserve">Q.  </w:t>
      </w:r>
      <w:r>
        <w:rPr>
          <w:b/>
        </w:rPr>
        <w:t>Why not just one big notebook?</w:t>
      </w:r>
    </w:p>
    <w:p>
      <w:pPr>
        <w:spacing w:after="160"/>
        <w:ind w:left="432"/>
      </w:pPr>
      <w:r>
        <w:rPr>
          <w:b/>
        </w:rPr>
        <w:t xml:space="preserve">A.  </w:t>
      </w:r>
      <w:r>
        <w:t>Because 'what runs anywhere' and 'what needs the cloud' have different failure modes. Separating them keeps the class moving even with no Wi-Fi or no account.</w:t>
      </w:r>
    </w:p>
    <w:p>
      <w:pPr>
        <w:pStyle w:val="Heading2"/>
      </w:pPr>
      <w:r>
        <w:t>A.1 — Case-2 waters: why standard algorithms fail</w:t>
      </w:r>
    </w:p>
    <w:p>
      <w:r>
        <w:rPr>
          <w:b/>
          <w:color w:val="C2410C"/>
        </w:rPr>
        <w:t xml:space="preserve">In one line: </w:t>
      </w:r>
      <w:r>
        <w:t>The Mar Menor's optics are dominated by sediment, CDOM and macrophytes, not just phytoplankton — so open-ocean chlorophyll algorithms break.</w:t>
      </w:r>
    </w:p>
    <w:p>
      <w:r>
        <w:rPr>
          <w:b/>
          <w:color w:val="115E59"/>
        </w:rPr>
        <w:t xml:space="preserve">What to say: </w:t>
      </w:r>
      <w:r>
        <w:t>Explain Case-1 vs Case-2. Case-1 (open ocean) assumes phytoplankton alone drives the colour, so a simple blue/green ratio works. The Mar Menor is Case-2: suspended sediment raises blue-green reflectance, CDOM (coloured dissolved organics from runoff) absorbs blue, and bottom macrophytes add a near-infrared signal. Each moves the spectrum independently of chlorophyll. The fix is the C2RCC neural-network atmospheric correction, then a locally-calibrated index. Our proxy is the red-edge ratio Rrs(B05)/Rrs(B04).</w:t>
      </w:r>
    </w:p>
    <w:p>
      <w:r>
        <w:rPr>
          <w:b/>
          <w:color w:val="115E59"/>
        </w:rPr>
        <w:t xml:space="preserve">Why it matters: </w:t>
      </w:r>
      <w:r>
        <w:t>It is the conceptual backbone of the whole satellite story. If students miss this, they'll over-trust any single band ratio.</w:t>
      </w:r>
    </w:p>
    <w:p>
      <w:r>
        <w:rPr>
          <w:b/>
          <w:color w:val="115E59"/>
        </w:rPr>
        <w:t>Likely questions</w:t>
      </w:r>
    </w:p>
    <w:p>
      <w:pPr>
        <w:spacing w:after="40"/>
      </w:pPr>
      <w:r>
        <w:rPr>
          <w:b/>
          <w:color w:val="C2410C"/>
        </w:rPr>
        <w:t xml:space="preserve">Q.  </w:t>
      </w:r>
      <w:r>
        <w:rPr>
          <w:b/>
        </w:rPr>
        <w:t>Is Sentinel-2 L2A the same as C2RCC?</w:t>
      </w:r>
    </w:p>
    <w:p>
      <w:pPr>
        <w:spacing w:after="160"/>
        <w:ind w:left="432"/>
      </w:pPr>
      <w:r>
        <w:rPr>
          <w:b/>
        </w:rPr>
        <w:t xml:space="preserve">A.  </w:t>
      </w:r>
      <w:r>
        <w:t>No — and say this clearly. L2A (Sen2Cor) is a LAND atmospheric correction. For rigorous water work you run C2RCC (e.g. in SNAP or via a Sentinel Hub evalscript). Our cached values only imitate a C2RCC-style product.</w:t>
      </w:r>
    </w:p>
    <w:p>
      <w:pPr>
        <w:spacing w:after="40"/>
      </w:pPr>
      <w:r>
        <w:rPr>
          <w:b/>
          <w:color w:val="C2410C"/>
        </w:rPr>
        <w:t xml:space="preserve">Q.  </w:t>
      </w:r>
      <w:r>
        <w:rPr>
          <w:b/>
        </w:rPr>
        <w:t>Why the red-edge (B05) and not classic blue/green?</w:t>
      </w:r>
    </w:p>
    <w:p>
      <w:pPr>
        <w:spacing w:after="160"/>
        <w:ind w:left="432"/>
      </w:pPr>
      <w:r>
        <w:rPr>
          <w:b/>
        </w:rPr>
        <w:t xml:space="preserve">A.  </w:t>
      </w:r>
      <w:r>
        <w:t>Chlorophyll absorbs strongly in the red (B04, 665 nm) and reflects in the red-edge (B05, 705 nm). The ratio rises with concentration and is far more robust to sediment than blue/green in turbid water.</w:t>
      </w:r>
    </w:p>
    <w:p>
      <w:pPr>
        <w:pStyle w:val="Heading2"/>
      </w:pPr>
      <w:r>
        <w:t>A.3 — The lagoon-wide chlorophyll time series</w:t>
      </w:r>
    </w:p>
    <w:p>
      <w:r>
        <w:rPr>
          <w:b/>
          <w:color w:val="C2410C"/>
        </w:rPr>
        <w:t xml:space="preserve">In one line: </w:t>
      </w:r>
      <w:r>
        <w:t>Averaging the sampling points to a weekly mean reproduces the four documented crises in the right months.</w:t>
      </w:r>
    </w:p>
    <w:p>
      <w:r>
        <w:rPr>
          <w:b/>
          <w:color w:val="115E59"/>
        </w:rPr>
        <w:t xml:space="preserve">What to say: </w:t>
      </w:r>
      <w:r>
        <w:t>Show the curve with the 2016, 2019, 2021 and 2025 windows shaded. Make the point that the synthetic data is calibrated against published literature, so the crises appear at the correct dates and magnitudes — it is a teaching stand-in for what a multi-year real pipeline would produce.</w:t>
      </w:r>
    </w:p>
    <w:p>
      <w:r>
        <w:rPr>
          <w:b/>
          <w:color w:val="115E59"/>
        </w:rPr>
        <w:t xml:space="preserve">Why it matters: </w:t>
      </w:r>
      <w:r>
        <w:t>It anchors the rest of the module in real, dated events and sets up 2021 as the focus crisis.</w:t>
      </w:r>
    </w:p>
    <w:p>
      <w:r>
        <w:rPr>
          <w:b/>
          <w:color w:val="115E59"/>
        </w:rPr>
        <w:t>Likely questions</w:t>
      </w:r>
    </w:p>
    <w:p>
      <w:pPr>
        <w:spacing w:after="40"/>
      </w:pPr>
      <w:r>
        <w:rPr>
          <w:b/>
          <w:color w:val="C2410C"/>
        </w:rPr>
        <w:t xml:space="preserve">Q.  </w:t>
      </w:r>
      <w:r>
        <w:rPr>
          <w:b/>
        </w:rPr>
        <w:t>These are synthetic — does that undermine the lesson?</w:t>
      </w:r>
    </w:p>
    <w:p>
      <w:pPr>
        <w:spacing w:after="160"/>
        <w:ind w:left="432"/>
      </w:pPr>
      <w:r>
        <w:rPr>
          <w:b/>
        </w:rPr>
        <w:t xml:space="preserve">A.  </w:t>
      </w:r>
      <w:r>
        <w:t>No, as long as we're explicit. The statistics are calibrated to the literature; the methods (resampling, anomaly logic) are exactly what you'd run on real data.</w:t>
      </w:r>
    </w:p>
    <w:p>
      <w:pPr>
        <w:pStyle w:val="Heading2"/>
      </w:pPr>
      <w:r>
        <w:t>A.6 — The 2021 marine heatwave and the oxygen link</w:t>
      </w:r>
    </w:p>
    <w:p>
      <w:r>
        <w:rPr>
          <w:b/>
          <w:color w:val="C2410C"/>
        </w:rPr>
        <w:t xml:space="preserve">In one line: </w:t>
      </w:r>
      <w:r>
        <w:t>A +2 °C heatwave lowers oxygen solubility by ~0.3 mg/L; with the bloom respiring at night and stratification sealing the bottom, that drives anoxia.</w:t>
      </w:r>
    </w:p>
    <w:p>
      <w:r>
        <w:rPr>
          <w:b/>
          <w:color w:val="115E59"/>
        </w:rPr>
        <w:t xml:space="preserve">What to say: </w:t>
      </w:r>
      <w:r>
        <w:t>Walk the causal chain and keep it quantitative. August 2021 ran ~30.5 °C vs ~27.5 °C in a normal year — a +1.9 °C anomaly. Using the Benson–Krause solubility curve, that warming alone removes ~0.3 mg/L of the water's oxygen capacity. At night the bloom consumes oxygen; stratification stops the bottom from re-oxygenating. Add it up and you get the hypoxia behind the fish-kill. We show the SST field clipped to the real lagoon outline, its anomaly, and the solubility curve side by side.</w:t>
      </w:r>
    </w:p>
    <w:p>
      <w:r>
        <w:rPr>
          <w:b/>
          <w:color w:val="115E59"/>
        </w:rPr>
        <w:t xml:space="preserve">Why it matters: </w:t>
      </w:r>
      <w:r>
        <w:t>It turns SST from a 'nice extra layer' into a computable driver of the ecological collapse — the emotional and scientific peak of Module 1.</w:t>
      </w:r>
    </w:p>
    <w:p>
      <w:r>
        <w:rPr>
          <w:b/>
          <w:color w:val="115E59"/>
        </w:rPr>
        <w:t>Likely questions</w:t>
      </w:r>
    </w:p>
    <w:p>
      <w:pPr>
        <w:spacing w:after="40"/>
      </w:pPr>
      <w:r>
        <w:rPr>
          <w:b/>
          <w:color w:val="C2410C"/>
        </w:rPr>
        <w:t xml:space="preserve">Q.  </w:t>
      </w:r>
      <w:r>
        <w:rPr>
          <w:b/>
        </w:rPr>
        <w:t>Why clip the SST to the lagoon outline?</w:t>
      </w:r>
    </w:p>
    <w:p>
      <w:pPr>
        <w:spacing w:after="160"/>
        <w:ind w:left="432"/>
      </w:pPr>
      <w:r>
        <w:rPr>
          <w:b/>
        </w:rPr>
        <w:t xml:space="preserve">A.  </w:t>
      </w:r>
      <w:r>
        <w:t>Earlier versions showed pixels spilling onto land, which looked wrong and diluted the signal. Clipping to the NIR-derived outline keeps the stat honest and the figure clean.</w:t>
      </w:r>
    </w:p>
    <w:p>
      <w:pPr>
        <w:spacing w:after="40"/>
      </w:pPr>
      <w:r>
        <w:rPr>
          <w:b/>
          <w:color w:val="C2410C"/>
        </w:rPr>
        <w:t xml:space="preserve">Q.  </w:t>
      </w:r>
      <w:r>
        <w:rPr>
          <w:b/>
        </w:rPr>
        <w:t>Is 0.3 mg/L really enough to matter?</w:t>
      </w:r>
    </w:p>
    <w:p>
      <w:pPr>
        <w:spacing w:after="160"/>
        <w:ind w:left="432"/>
      </w:pPr>
      <w:r>
        <w:rPr>
          <w:b/>
        </w:rPr>
        <w:t xml:space="preserve">A.  </w:t>
      </w:r>
      <w:r>
        <w:t>On its own, no — but it stacks with night-time biological oxygen demand and stratification. The lesson is that several modest stressors combine non-linearly into a kill event.</w:t>
      </w:r>
    </w:p>
    <w:p>
      <w:pPr>
        <w:pStyle w:val="Heading2"/>
      </w:pPr>
      <w:r>
        <w:t>Section B — The real CDSE / STAC / COG workflow</w:t>
      </w:r>
    </w:p>
    <w:p>
      <w:r>
        <w:rPr>
          <w:b/>
          <w:color w:val="C2410C"/>
        </w:rPr>
        <w:t xml:space="preserve">In one line: </w:t>
      </w:r>
      <w:r>
        <w:t>How to discover and download real Sentinel data today, shown as patterns (not run in class).</w:t>
      </w:r>
    </w:p>
    <w:p>
      <w:r>
        <w:rPr>
          <w:b/>
          <w:color w:val="115E59"/>
        </w:rPr>
        <w:t xml:space="preserve">What to say: </w:t>
      </w:r>
      <w:r>
        <w:t>Emphasise three corrections to what students may have read in older tutorials. (1) SciHub is retired; the entry point is the Copernicus Data Space Ecosystem (CDSE). (2) The current STAC endpoint is stac.dataspace.copernicus.eu/v1 and the collection id is lowercase sentinel-2-l2a (the old catalogue endpoint was deprecated in Nov 2025). (3) Use L2A (surface reflectance), not L1C (top-of-atmosphere). Then the scalability trick: a Cloud-Optimised GeoTIFF lets you read only the AOI window — a few MB instead of an ~800 MB scene.</w:t>
      </w:r>
    </w:p>
    <w:p>
      <w:r>
        <w:rPr>
          <w:b/>
          <w:color w:val="115E59"/>
        </w:rPr>
        <w:t xml:space="preserve">Why it matters: </w:t>
      </w:r>
      <w:r>
        <w:t>These are the exact details that make student code work or fail in 2026. The COG window-read is the single most useful habit for scaling.</w:t>
      </w:r>
    </w:p>
    <w:p>
      <w:r>
        <w:rPr>
          <w:b/>
          <w:color w:val="115E59"/>
        </w:rPr>
        <w:t>Likely questions</w:t>
      </w:r>
    </w:p>
    <w:p>
      <w:pPr>
        <w:spacing w:after="40"/>
      </w:pPr>
      <w:r>
        <w:rPr>
          <w:b/>
          <w:color w:val="C2410C"/>
        </w:rPr>
        <w:t xml:space="preserve">Q.  </w:t>
      </w:r>
      <w:r>
        <w:rPr>
          <w:b/>
        </w:rPr>
        <w:t>Why don't we run the authenticated calls in class?</w:t>
      </w:r>
    </w:p>
    <w:p>
      <w:pPr>
        <w:spacing w:after="160"/>
        <w:ind w:left="432"/>
      </w:pPr>
      <w:r>
        <w:rPr>
          <w:b/>
        </w:rPr>
        <w:t xml:space="preserve">A.  </w:t>
      </w:r>
      <w:r>
        <w:t>Credentials are personal and quota is limited. We show the pattern and run the no-login AWS mirror instead, so everyone succeeds.</w:t>
      </w:r>
    </w:p>
    <w:p>
      <w:pPr>
        <w:pStyle w:val="Heading2"/>
      </w:pPr>
      <w:r>
        <w:t>Section C — Real Sentinel-2 figures (True Colour, NDCI, zones)</w:t>
      </w:r>
    </w:p>
    <w:p>
      <w:r>
        <w:rPr>
          <w:b/>
          <w:color w:val="C2410C"/>
        </w:rPr>
        <w:t xml:space="preserve">In one line: </w:t>
      </w:r>
      <w:r>
        <w:t>Four real cloud-free scenes give pixel-perfect True-Colour, a per-pixel NDCI chlorophyll map, and a North/Centre/South zone analysis.</w:t>
      </w:r>
    </w:p>
    <w:p>
      <w:r>
        <w:rPr>
          <w:b/>
          <w:color w:val="115E59"/>
        </w:rPr>
        <w:t xml:space="preserve">What to say: </w:t>
      </w:r>
      <w:r>
        <w:t>Stress two methodological wins. (1) Scene selection: we measured valid coverage AND cloud over the lagoon itself, not the catalogue's whole-tile cloud %. That's why the 14-Jul-2021 scene was rejected — it only clipped a swath edge (5.5 % coverage). (2) The lagoon outline is extracted from the near-infrared band (water absorbs NIR), giving 191 exact vertices instead of a hand-drawn polygon. NDCI runs from ≈ −0.28 in clear winter water to ≈ −0.05 in the summer bloom; the zone bars show the north-west (agricultural) shore highest.</w:t>
      </w:r>
    </w:p>
    <w:p>
      <w:r>
        <w:rPr>
          <w:b/>
          <w:color w:val="115E59"/>
        </w:rPr>
        <w:t xml:space="preserve">Why it matters: </w:t>
      </w:r>
      <w:r>
        <w:t>This is where the abstract index becomes a believable map of a real place, and where students learn that data cleaning decisions change the science.</w:t>
      </w:r>
    </w:p>
    <w:p>
      <w:r>
        <w:rPr>
          <w:b/>
          <w:color w:val="115E59"/>
        </w:rPr>
        <w:t>Likely questions</w:t>
      </w:r>
    </w:p>
    <w:p>
      <w:pPr>
        <w:spacing w:after="40"/>
      </w:pPr>
      <w:r>
        <w:rPr>
          <w:b/>
          <w:color w:val="C2410C"/>
        </w:rPr>
        <w:t xml:space="preserve">Q.  </w:t>
      </w:r>
      <w:r>
        <w:rPr>
          <w:b/>
        </w:rPr>
        <w:t>Why does the NDCI look mostly negative?</w:t>
      </w:r>
    </w:p>
    <w:p>
      <w:pPr>
        <w:spacing w:after="160"/>
        <w:ind w:left="432"/>
      </w:pPr>
      <w:r>
        <w:rPr>
          <w:b/>
        </w:rPr>
        <w:t xml:space="preserve">A.  </w:t>
      </w:r>
      <w:r>
        <w:t>Absolute NDCI depends on the atmospheric correction and the exact bands; what matters is the relative jump (~+0.25 from winter to bloom) and the spatial pattern, both of which are robust.</w:t>
      </w:r>
    </w:p>
    <w:p>
      <w:pPr>
        <w:spacing w:after="40"/>
      </w:pPr>
      <w:r>
        <w:rPr>
          <w:b/>
          <w:color w:val="C2410C"/>
        </w:rPr>
        <w:t xml:space="preserve">Q.  </w:t>
      </w:r>
      <w:r>
        <w:rPr>
          <w:b/>
        </w:rPr>
        <w:t>Could we compute real chlorophyll in mg/m³?</w:t>
      </w:r>
    </w:p>
    <w:p>
      <w:pPr>
        <w:spacing w:after="160"/>
        <w:ind w:left="432"/>
      </w:pPr>
      <w:r>
        <w:rPr>
          <w:b/>
        </w:rPr>
        <w:t xml:space="preserve">A.  </w:t>
      </w:r>
      <w:r>
        <w:t>Yes, with a locally-calibrated C2RCC + regression. We keep the real scenes as NDCI and use the synthetic series for the mg/m³ trend, to stay honest about what each data source supports.</w:t>
      </w:r>
    </w:p>
    <w:p>
      <w:pPr>
        <w:pStyle w:val="Heading1"/>
        <w:pageBreakBefore/>
      </w:pPr>
      <w:r>
        <w:t>Module 2 — In-situ Integration &amp; Machine Learning</w:t>
      </w:r>
    </w:p>
    <w:p>
      <w:r>
        <w:rPr>
          <w:i w:val="0"/>
        </w:rPr>
        <w:t>Goal: connect the satellite record to ground truth, validate it, and learn to predict and flag crises — with the statistical honesty that separates a teaching demo from an over-sold result.</w:t>
      </w:r>
    </w:p>
    <w:p>
      <w:pPr>
        <w:pStyle w:val="Heading2"/>
      </w:pPr>
      <w:r>
        <w:t>Section 1 — The in-situ monitoring networks</w:t>
      </w:r>
    </w:p>
    <w:p>
      <w:r>
        <w:rPr>
          <w:b/>
          <w:color w:val="C2410C"/>
        </w:rPr>
        <w:t xml:space="preserve">In one line: </w:t>
      </w:r>
      <w:r>
        <w:t>Daily buoy data (CARM/IMIDA) plus watershed hydrology (CHS-SAIH) are the ground truth and the upstream pressure.</w:t>
      </w:r>
    </w:p>
    <w:p>
      <w:r>
        <w:rPr>
          <w:b/>
          <w:color w:val="115E59"/>
        </w:rPr>
        <w:t xml:space="preserve">What to say: </w:t>
      </w:r>
      <w:r>
        <w:t>Introduce the four sources: CARM real-time lagoon sondes (T, S, chl-a, DO, turbidity), IMIDA agro-meteorology (the nutrient pressure), CHS-SAIH watershed hydrology (the flood signal), and Copernicus Marine INS-TAC. Our cached file mimics CARM exports: five stations, daily, 2016–2025.</w:t>
      </w:r>
    </w:p>
    <w:p>
      <w:r>
        <w:rPr>
          <w:b/>
          <w:color w:val="115E59"/>
        </w:rPr>
        <w:t xml:space="preserve">Why it matters: </w:t>
      </w:r>
      <w:r>
        <w:t>Satellites need ground truth to be trusted; and the upstream agricultural data is what ultimately drives the lagoon.</w:t>
      </w:r>
    </w:p>
    <w:p>
      <w:pPr>
        <w:pStyle w:val="Heading2"/>
      </w:pPr>
      <w:r>
        <w:t>Section 1.1–1.2 — The crises in the raw signal</w:t>
      </w:r>
    </w:p>
    <w:p>
      <w:r>
        <w:rPr>
          <w:b/>
          <w:color w:val="C2410C"/>
        </w:rPr>
        <w:t xml:space="preserve">In one line: </w:t>
      </w:r>
      <w:r>
        <w:t>Before any modelling, plot the 2021 hypoxia and the 2019 DANA directly from the buoys.</w:t>
      </w:r>
    </w:p>
    <w:p>
      <w:r>
        <w:rPr>
          <w:b/>
          <w:color w:val="115E59"/>
        </w:rPr>
        <w:t xml:space="preserve">What to say: </w:t>
      </w:r>
      <w:r>
        <w:t xml:space="preserve">For 2021, plot dissolved oxygen against the 2 mg/L hypoxia line with SST overlaid — this is the chart that accompanied the fish-kill headlines. For 2019, show the DANA as a cascade: 300+ mm rain in 48 h → salinity drops ~4 PSU → nitrate spikes ten-fold. </w:t>
      </w:r>
    </w:p>
    <w:p>
      <w:r>
        <w:rPr>
          <w:b/>
          <w:color w:val="115E59"/>
        </w:rPr>
        <w:t xml:space="preserve">Why it matters: </w:t>
      </w:r>
      <w:r>
        <w:t>It builds the habit of eyeballing events before trusting any model on them, and it makes the later anomaly detection concrete.</w:t>
      </w:r>
    </w:p>
    <w:p>
      <w:pPr>
        <w:pStyle w:val="Heading2"/>
      </w:pPr>
      <w:r>
        <w:t>Section 2 — Match-ups: validating the satellite</w:t>
      </w:r>
    </w:p>
    <w:p>
      <w:r>
        <w:rPr>
          <w:b/>
          <w:color w:val="C2410C"/>
        </w:rPr>
        <w:t xml:space="preserve">In one line: </w:t>
      </w:r>
      <w:r>
        <w:t>Co-locate each Sentinel-2 point with its nearest buoy (4 km, same day) and score the retrieval with proper metrics.</w:t>
      </w:r>
    </w:p>
    <w:p>
      <w:r>
        <w:rPr>
          <w:b/>
          <w:color w:val="115E59"/>
        </w:rPr>
        <w:t xml:space="preserve">What to say: </w:t>
      </w:r>
      <w:r>
        <w:t>Explain the match-up convention (ocean-colour uses 3 km / 3 h; we use 4 km / same-day because in-situ is daily). Report R², RMSE and RMSLE (log form, because chlorophyll is roughly log-normal) and bias, and always draw the 1:1 line. The scatter against 1:1 is the honest visual test.</w:t>
      </w:r>
    </w:p>
    <w:p>
      <w:r>
        <w:rPr>
          <w:b/>
          <w:color w:val="115E59"/>
        </w:rPr>
        <w:t xml:space="preserve">Why it matters: </w:t>
      </w:r>
      <w:r>
        <w:t>No skill claim is credible without a match-up. This is the discipline that separates a pretty map from a validated product.</w:t>
      </w:r>
    </w:p>
    <w:p>
      <w:r>
        <w:rPr>
          <w:b/>
          <w:color w:val="115E59"/>
        </w:rPr>
        <w:t>Likely questions</w:t>
      </w:r>
    </w:p>
    <w:p>
      <w:pPr>
        <w:spacing w:after="40"/>
      </w:pPr>
      <w:r>
        <w:rPr>
          <w:b/>
          <w:color w:val="C2410C"/>
        </w:rPr>
        <w:t xml:space="preserve">Q.  </w:t>
      </w:r>
      <w:r>
        <w:rPr>
          <w:b/>
        </w:rPr>
        <w:t>Why log-transform the error (RMSLE)?</w:t>
      </w:r>
    </w:p>
    <w:p>
      <w:pPr>
        <w:spacing w:after="160"/>
        <w:ind w:left="432"/>
      </w:pPr>
      <w:r>
        <w:rPr>
          <w:b/>
        </w:rPr>
        <w:t xml:space="preserve">A.  </w:t>
      </w:r>
      <w:r>
        <w:t>Chlorophyll spans orders of magnitude and is approximately log-normal; an absolute RMSE is dominated by a few high-bloom points, hiding performance at typical concentrations.</w:t>
      </w:r>
    </w:p>
    <w:p>
      <w:pPr>
        <w:pStyle w:val="Heading2"/>
      </w:pPr>
      <w:r>
        <w:t>Section 3 — ML retrieval and HONEST cross-validation</w:t>
      </w:r>
    </w:p>
    <w:p>
      <w:r>
        <w:rPr>
          <w:b/>
          <w:color w:val="C2410C"/>
        </w:rPr>
        <w:t xml:space="preserve">In one line: </w:t>
      </w:r>
      <w:r>
        <w:t>A gradient-boosting regressor predicts chl-a from reflectances; we validate it two ways that answer different questions.</w:t>
      </w:r>
    </w:p>
    <w:p>
      <w:r>
        <w:rPr>
          <w:b/>
          <w:color w:val="115E59"/>
        </w:rPr>
        <w:t xml:space="preserve">What to say: </w:t>
      </w:r>
      <w:r>
        <w:t>First, TimeSeriesSplit honours chronological order and answers 'can we predict future dates?' — it looks strong. Then GroupKFold with the station as the group holds out ENTIRE stations and answers 'can we predict an unseen, unmonitored location?' — and the R² drops to about 0.17. The gap is the lesson: a model can look great in time yet be weak in space. Report the harder, spatial number when you talk about deploying somewhere new.</w:t>
      </w:r>
    </w:p>
    <w:p>
      <w:r>
        <w:rPr>
          <w:b/>
          <w:color w:val="115E59"/>
        </w:rPr>
        <w:t xml:space="preserve">Why it matters: </w:t>
      </w:r>
      <w:r>
        <w:t>This is the module's headline on rigor — it directly fixes the 'ML looks too optimistic' critique and teaches a transferable habit.</w:t>
      </w:r>
    </w:p>
    <w:p>
      <w:r>
        <w:rPr>
          <w:b/>
          <w:color w:val="115E59"/>
        </w:rPr>
        <w:t>Likely questions</w:t>
      </w:r>
    </w:p>
    <w:p>
      <w:pPr>
        <w:spacing w:after="40"/>
      </w:pPr>
      <w:r>
        <w:rPr>
          <w:b/>
          <w:color w:val="C2410C"/>
        </w:rPr>
        <w:t xml:space="preserve">Q.  </w:t>
      </w:r>
      <w:r>
        <w:rPr>
          <w:b/>
        </w:rPr>
        <w:t>Why is the spatial R² so much lower — is the model bad?</w:t>
      </w:r>
    </w:p>
    <w:p>
      <w:pPr>
        <w:spacing w:after="160"/>
        <w:ind w:left="432"/>
      </w:pPr>
      <w:r>
        <w:rPr>
          <w:b/>
        </w:rPr>
        <w:t xml:space="preserve">A.  </w:t>
      </w:r>
      <w:r>
        <w:t>Not bad — honestly evaluated. Predicting a station the model never saw is genuinely harder than predicting a new date at a known station. The low number is the truthful deployment estimate.</w:t>
      </w:r>
    </w:p>
    <w:p>
      <w:pPr>
        <w:spacing w:after="40"/>
      </w:pPr>
      <w:r>
        <w:rPr>
          <w:b/>
          <w:color w:val="C2410C"/>
        </w:rPr>
        <w:t xml:space="preserve">Q.  </w:t>
      </w:r>
      <w:r>
        <w:rPr>
          <w:b/>
        </w:rPr>
        <w:t>Which number do I put in a paper?</w:t>
      </w:r>
    </w:p>
    <w:p>
      <w:pPr>
        <w:spacing w:after="160"/>
        <w:ind w:left="432"/>
      </w:pPr>
      <w:r>
        <w:rPr>
          <w:b/>
        </w:rPr>
        <w:t xml:space="preserve">A.  </w:t>
      </w:r>
      <w:r>
        <w:t>Both, clearly labelled. But the one that reflects real-world use at a new site is the GroupKFold (spatial) score.</w:t>
      </w:r>
    </w:p>
    <w:p>
      <w:pPr>
        <w:pStyle w:val="Heading2"/>
      </w:pPr>
      <w:r>
        <w:t>Section 4 — Multivariate anomaly detection (early warning)</w:t>
      </w:r>
    </w:p>
    <w:p>
      <w:r>
        <w:rPr>
          <w:b/>
          <w:color w:val="C2410C"/>
        </w:rPr>
        <w:t xml:space="preserve">In one line: </w:t>
      </w:r>
      <w:r>
        <w:t>An Isolation Forest trained ONLY on the quiet 2017–2018 years, then applied out-of-sample, flags joint anomalies across six variables.</w:t>
      </w:r>
    </w:p>
    <w:p>
      <w:r>
        <w:rPr>
          <w:b/>
          <w:color w:val="115E59"/>
        </w:rPr>
        <w:t xml:space="preserve">What to say: </w:t>
      </w:r>
      <w:r>
        <w:t>Make the training-window point central. If you fit the detector on the whole series, it learns the crises as 'normal' and the early-warning claim becomes circular. We fit on the calm 2017–2018 baseline and apply forward to 2019+, so every later flag is genuinely out-of-sample. It watches chl-a, turbidity, DO, SST, salinity and nitrate jointly — joint anomalies catch precursors a single chl-a threshold misses.</w:t>
      </w:r>
    </w:p>
    <w:p>
      <w:r>
        <w:rPr>
          <w:b/>
          <w:color w:val="115E59"/>
        </w:rPr>
        <w:t xml:space="preserve">Why it matters: </w:t>
      </w:r>
      <w:r>
        <w:t>It is the difference between a detector that 'predicts' the past and one that could actually warn an agency.</w:t>
      </w:r>
    </w:p>
    <w:p>
      <w:r>
        <w:rPr>
          <w:b/>
          <w:color w:val="115E59"/>
        </w:rPr>
        <w:t>Likely questions</w:t>
      </w:r>
    </w:p>
    <w:p>
      <w:pPr>
        <w:spacing w:after="40"/>
      </w:pPr>
      <w:r>
        <w:rPr>
          <w:b/>
          <w:color w:val="C2410C"/>
        </w:rPr>
        <w:t xml:space="preserve">Q.  </w:t>
      </w:r>
      <w:r>
        <w:rPr>
          <w:b/>
        </w:rPr>
        <w:t>Why Isolation Forest and not a simple threshold?</w:t>
      </w:r>
    </w:p>
    <w:p>
      <w:pPr>
        <w:spacing w:after="160"/>
        <w:ind w:left="432"/>
      </w:pPr>
      <w:r>
        <w:rPr>
          <w:b/>
        </w:rPr>
        <w:t xml:space="preserve">A.  </w:t>
      </w:r>
      <w:r>
        <w:t>A single-variable threshold misses combinations — e.g. moderately high chl-a plus low DO plus high SST together. Isolation Forest scores the joint multivariate state.</w:t>
      </w:r>
    </w:p>
    <w:p>
      <w:pPr>
        <w:pStyle w:val="Heading2"/>
      </w:pPr>
      <w:r>
        <w:t>Section 4.1 — Lead time vs detection delay</w:t>
      </w:r>
    </w:p>
    <w:p>
      <w:r>
        <w:rPr>
          <w:b/>
          <w:color w:val="C2410C"/>
        </w:rPr>
        <w:t xml:space="preserve">In one line: </w:t>
      </w:r>
      <w:r>
        <w:t>Separate a flag BEFORE a crisis (lead time, a win) from a flag AFTER it (detection delay, a miss) — never conflate them.</w:t>
      </w:r>
    </w:p>
    <w:p>
      <w:r>
        <w:rPr>
          <w:b/>
          <w:color w:val="115E59"/>
        </w:rPr>
        <w:t xml:space="preserve">What to say: </w:t>
      </w:r>
      <w:r>
        <w:t>Show the table: 2019 was flagged 42 days early (a genuine warning); 2021 and 2025 were only caught 1–2 days after onset (detection delay, i.e. misses). The naive code scanned a window that started before and ended after the event, took the first flag and called it 'lead time' even when it came late. We split the two metrics explicitly.</w:t>
      </w:r>
    </w:p>
    <w:p>
      <w:r>
        <w:rPr>
          <w:b/>
          <w:color w:val="115E59"/>
        </w:rPr>
        <w:t xml:space="preserve">Why it matters: </w:t>
      </w:r>
      <w:r>
        <w:t>It's a subtle bookkeeping fix that prevents monitoring papers from quietly overselling themselves — a great research-integrity teaching moment.</w:t>
      </w:r>
    </w:p>
    <w:p>
      <w:r>
        <w:rPr>
          <w:b/>
          <w:color w:val="115E59"/>
        </w:rPr>
        <w:t>Likely questions</w:t>
      </w:r>
    </w:p>
    <w:p>
      <w:pPr>
        <w:spacing w:after="40"/>
      </w:pPr>
      <w:r>
        <w:rPr>
          <w:b/>
          <w:color w:val="C2410C"/>
        </w:rPr>
        <w:t xml:space="preserve">Q.  </w:t>
      </w:r>
      <w:r>
        <w:rPr>
          <w:b/>
        </w:rPr>
        <w:t>So our detector mostly fails?</w:t>
      </w:r>
    </w:p>
    <w:p>
      <w:pPr>
        <w:spacing w:after="160"/>
        <w:ind w:left="432"/>
      </w:pPr>
      <w:r>
        <w:rPr>
          <w:b/>
        </w:rPr>
        <w:t xml:space="preserve">A.  </w:t>
      </w:r>
      <w:r>
        <w:t>It succeeds spectacularly once (2019) and is late twice. That honest scorecard is the point — and it motivates adding watershed-forcing features to push the lead time earlier, which is the take-home exercise.</w:t>
      </w:r>
    </w:p>
    <w:p>
      <w:pPr>
        <w:pStyle w:val="Heading1"/>
        <w:pageBreakBefore/>
      </w:pPr>
      <w:r>
        <w:t>Module 3 — Build Your Own EO Database</w:t>
      </w:r>
    </w:p>
    <w:p>
      <w:r>
        <w:rPr>
          <w:i w:val="0"/>
        </w:rPr>
        <w:t>Goal: students build the entire data layer themselves and run real downloads live. Frame the whole module with the kitchen metaphor: grocery run → wash → chop → fridge → cook → run the restaurant.</w:t>
      </w:r>
    </w:p>
    <w:p>
      <w:pPr>
        <w:pStyle w:val="Heading2"/>
      </w:pPr>
      <w:r>
        <w:t>Part 1 overview — the pipeline &amp; the data landscape</w:t>
      </w:r>
    </w:p>
    <w:p>
      <w:r>
        <w:rPr>
          <w:b/>
          <w:color w:val="C2410C"/>
        </w:rPr>
        <w:t xml:space="preserve">In one line: </w:t>
      </w:r>
      <w:r>
        <w:t>Six steps (discover, clean, extract, store, analyse, productionise) and a map of eight free data sources, four of them no-login.</w:t>
      </w:r>
    </w:p>
    <w:p>
      <w:r>
        <w:rPr>
          <w:b/>
          <w:color w:val="115E59"/>
        </w:rPr>
        <w:t xml:space="preserve">What to say: </w:t>
      </w:r>
      <w:r>
        <w:t>Give the whole map before the details. Then the rule of thumb: prototype today with the four no-login sources (NASA GIBS, AWS Sentinel-2 COGs, Open-Meteo Air-Quality and Marine); graduate to account-based ones (CDSE, Copernicus Marine, NASA Earthdata) when you need a specific product or the full archive.</w:t>
      </w:r>
    </w:p>
    <w:p>
      <w:r>
        <w:rPr>
          <w:b/>
          <w:color w:val="115E59"/>
        </w:rPr>
        <w:t xml:space="preserve">Why it matters: </w:t>
      </w:r>
      <w:r>
        <w:t>Students leave knowing not just one download trick but where to get almost any free environmental data — the real goal of the module.</w:t>
      </w:r>
    </w:p>
    <w:p>
      <w:pPr>
        <w:pStyle w:val="Heading2"/>
      </w:pPr>
      <w:r>
        <w:t>Section 1.1–1.4 — Live downloads (run these in the room)</w:t>
      </w:r>
    </w:p>
    <w:p>
      <w:r>
        <w:rPr>
          <w:b/>
          <w:color w:val="C2410C"/>
        </w:rPr>
        <w:t xml:space="preserve">In one line: </w:t>
      </w:r>
      <w:r>
        <w:t>Four real, no-credentials downloads the students watch arrive: a GIBS image, a Sentinel-2 COG window, and two Open-Meteo time series.</w:t>
      </w:r>
    </w:p>
    <w:p>
      <w:r>
        <w:rPr>
          <w:b/>
          <w:color w:val="115E59"/>
        </w:rPr>
        <w:t xml:space="preserve">What to say: </w:t>
      </w:r>
      <w:r>
        <w:t>Run each cell live. GIBS: one URL returns a true-colour PNG for any date since 2000 — change the date and re-run. Sentinel-2 COG: search the catalogue, open the COG header WITHOUT downloading, then read only the AOI window — about 8 MB, ~3 % of the scene. Open-Meteo: a GET returns JSON that becomes a DataFrame of hourly PM2.5/PM10/ozone (pollution!) and sea-surface temperature. Each cell degrades gracefully if offline.</w:t>
      </w:r>
    </w:p>
    <w:p>
      <w:r>
        <w:rPr>
          <w:b/>
          <w:color w:val="115E59"/>
        </w:rPr>
        <w:t xml:space="preserve">Why it matters: </w:t>
      </w:r>
      <w:r>
        <w:t>This is the 'EO stops feeling abstract' moment — students see real bytes arrive and realise they can do it for their own coast today.</w:t>
      </w:r>
    </w:p>
    <w:p>
      <w:r>
        <w:rPr>
          <w:b/>
          <w:color w:val="115E59"/>
        </w:rPr>
        <w:t>Likely questions</w:t>
      </w:r>
    </w:p>
    <w:p>
      <w:pPr>
        <w:spacing w:after="40"/>
      </w:pPr>
      <w:r>
        <w:rPr>
          <w:b/>
          <w:color w:val="C2410C"/>
        </w:rPr>
        <w:t xml:space="preserve">Q.  </w:t>
      </w:r>
      <w:r>
        <w:rPr>
          <w:b/>
        </w:rPr>
        <w:t>Is the COG window really downloading just part of the file?</w:t>
      </w:r>
    </w:p>
    <w:p>
      <w:pPr>
        <w:spacing w:after="160"/>
        <w:ind w:left="432"/>
      </w:pPr>
      <w:r>
        <w:rPr>
          <w:b/>
        </w:rPr>
        <w:t xml:space="preserve">A.  </w:t>
      </w:r>
      <w:r>
        <w:t>Yes. A Cloud-Optimised GeoTIFF is internally tiled and indexed; rasterio issues HTTP range requests for only the tiles overlapping your window. That's why it's ~3 % of the bytes.</w:t>
      </w:r>
    </w:p>
    <w:p>
      <w:pPr>
        <w:spacing w:after="40"/>
      </w:pPr>
      <w:r>
        <w:rPr>
          <w:b/>
          <w:color w:val="C2410C"/>
        </w:rPr>
        <w:t xml:space="preserve">Q.  </w:t>
      </w:r>
      <w:r>
        <w:rPr>
          <w:b/>
        </w:rPr>
        <w:t>Why use AWS instead of Copernicus for the live demo?</w:t>
      </w:r>
    </w:p>
    <w:p>
      <w:pPr>
        <w:spacing w:after="160"/>
        <w:ind w:left="432"/>
      </w:pPr>
      <w:r>
        <w:rPr>
          <w:b/>
        </w:rPr>
        <w:t xml:space="preserve">A.  </w:t>
      </w:r>
      <w:r>
        <w:t>The AWS Open-Data mirror needs no login, so every student succeeds instantly. Copernicus comes next, for what the account unlocks.</w:t>
      </w:r>
    </w:p>
    <w:p>
      <w:pPr>
        <w:pStyle w:val="Heading2"/>
      </w:pPr>
      <w:r>
        <w:t>Section 1.5 — A free Copernicus account and what it unlocks</w:t>
      </w:r>
    </w:p>
    <w:p>
      <w:r>
        <w:rPr>
          <w:b/>
          <w:color w:val="C2410C"/>
        </w:rPr>
        <w:t xml:space="preserve">In one line: </w:t>
      </w:r>
      <w:r>
        <w:t>Registration takes ~2 minutes; an OAuth client then enables server-side processing the AWS mirror can't do.</w:t>
      </w:r>
    </w:p>
    <w:p>
      <w:r>
        <w:rPr>
          <w:b/>
          <w:color w:val="115E59"/>
        </w:rPr>
        <w:t xml:space="preserve">What to say: </w:t>
      </w:r>
      <w:r>
        <w:t>Walk the three registration steps (register at dataspace.copernicus.eu → create an OAuth client in the Sentinel Hub dashboard → store id/secret as environment variables). Then the two unlocks, both verified live: the Process API sends a tiny evalscript and returns a finished product (NDCI map, true-colour image, or raw band stack) for any date; the Statistical API returns a full AOI time series in one request while downloading NO imagery. Show the spectral signature from the raw bands — reflectance rising into the red-edge is the chlorophyll fingerprint.</w:t>
      </w:r>
    </w:p>
    <w:p>
      <w:r>
        <w:rPr>
          <w:b/>
          <w:color w:val="115E59"/>
        </w:rPr>
        <w:t xml:space="preserve">Why it matters: </w:t>
      </w:r>
      <w:r>
        <w:t>It shows the leap from 'download pixels and compute yourself' to 'ask the server for exactly the product you want' — the professional workflow.</w:t>
      </w:r>
    </w:p>
    <w:p>
      <w:r>
        <w:rPr>
          <w:b/>
          <w:color w:val="115E59"/>
        </w:rPr>
        <w:t>Likely questions</w:t>
      </w:r>
    </w:p>
    <w:p>
      <w:pPr>
        <w:spacing w:after="40"/>
      </w:pPr>
      <w:r>
        <w:rPr>
          <w:b/>
          <w:color w:val="C2410C"/>
        </w:rPr>
        <w:t xml:space="preserve">Q.  </w:t>
      </w:r>
      <w:r>
        <w:rPr>
          <w:b/>
        </w:rPr>
        <w:t>What does the account cost?</w:t>
      </w:r>
    </w:p>
    <w:p>
      <w:pPr>
        <w:spacing w:after="160"/>
        <w:ind w:left="432"/>
      </w:pPr>
      <w:r>
        <w:rPr>
          <w:b/>
        </w:rPr>
        <w:t xml:space="preserve">A.  </w:t>
      </w:r>
      <w:r>
        <w:t>Nothing — free, no credit card, ~30,000 processing units/month, plenty for a PhD project.</w:t>
      </w:r>
    </w:p>
    <w:p>
      <w:pPr>
        <w:spacing w:after="40"/>
      </w:pPr>
      <w:r>
        <w:rPr>
          <w:b/>
          <w:color w:val="C2410C"/>
        </w:rPr>
        <w:t xml:space="preserve">Q.  </w:t>
      </w:r>
      <w:r>
        <w:rPr>
          <w:b/>
        </w:rPr>
        <w:t>What is an evalscript?</w:t>
      </w:r>
    </w:p>
    <w:p>
      <w:pPr>
        <w:spacing w:after="160"/>
        <w:ind w:left="432"/>
      </w:pPr>
      <w:r>
        <w:rPr>
          <w:b/>
        </w:rPr>
        <w:t xml:space="preserve">A.  </w:t>
      </w:r>
      <w:r>
        <w:t>A small JavaScript function that tells Sentinel Hub what each output pixel should be. Change the function and you change the product — NDCI, true colour, or raw bands — without touching the download code.</w:t>
      </w:r>
    </w:p>
    <w:p>
      <w:pPr>
        <w:pStyle w:val="Heading2"/>
      </w:pPr>
      <w:r>
        <w:t>Sections 2–4 — Clean, extract, and store (SQLite + Parquet)</w:t>
      </w:r>
    </w:p>
    <w:p>
      <w:r>
        <w:rPr>
          <w:b/>
          <w:color w:val="C2410C"/>
        </w:rPr>
        <w:t xml:space="preserve">In one line: </w:t>
      </w:r>
      <w:r>
        <w:t>Turn pixels into trustworthy tidy rows, then store them in a typed, indexed, idempotent database plus Parquet for bulk arrays.</w:t>
      </w:r>
    </w:p>
    <w:p>
      <w:r>
        <w:rPr>
          <w:b/>
          <w:color w:val="115E59"/>
        </w:rPr>
        <w:t xml:space="preserve">What to say: </w:t>
      </w:r>
      <w:r>
        <w:t>Clean: mask non-water and clouds, score coverage. Extract: compute NDCI per scene and per zone into long-format rows (date, source, variable, zone, value). Store: a SQLite schema with primary keys, indices and — crucially — a UNIQUE constraint so INSERT OR REPLACE makes re-runs idempotent (no duplicates). Keep the millions of per-pixel values in Parquet, referenced from the database, not stuffed into SQL rows.</w:t>
      </w:r>
    </w:p>
    <w:p>
      <w:r>
        <w:rPr>
          <w:b/>
          <w:color w:val="115E59"/>
        </w:rPr>
        <w:t xml:space="preserve">Why it matters: </w:t>
      </w:r>
      <w:r>
        <w:t>This is the engineering heart: why a database beats a pile of CSVs, and why idempotency is what lets a pipeline run on a schedule forever.</w:t>
      </w:r>
    </w:p>
    <w:p>
      <w:r>
        <w:rPr>
          <w:b/>
          <w:color w:val="115E59"/>
        </w:rPr>
        <w:t>Likely questions</w:t>
      </w:r>
    </w:p>
    <w:p>
      <w:pPr>
        <w:spacing w:after="40"/>
      </w:pPr>
      <w:r>
        <w:rPr>
          <w:b/>
          <w:color w:val="C2410C"/>
        </w:rPr>
        <w:t xml:space="preserve">Q.  </w:t>
      </w:r>
      <w:r>
        <w:rPr>
          <w:b/>
        </w:rPr>
        <w:t>Why SQLite and not PostgreSQL?</w:t>
      </w:r>
    </w:p>
    <w:p>
      <w:pPr>
        <w:spacing w:after="160"/>
        <w:ind w:left="432"/>
      </w:pPr>
      <w:r>
        <w:rPr>
          <w:b/>
        </w:rPr>
        <w:t xml:space="preserve">A.  </w:t>
      </w:r>
      <w:r>
        <w:t>SQLite is one file, zero install, full SQL — perfect for a PhD-scale project. We show the PostGIS/DuckDB upgrade path for when you outgrow it.</w:t>
      </w:r>
    </w:p>
    <w:p>
      <w:pPr>
        <w:spacing w:after="40"/>
      </w:pPr>
      <w:r>
        <w:rPr>
          <w:b/>
          <w:color w:val="C2410C"/>
        </w:rPr>
        <w:t xml:space="preserve">Q.  </w:t>
      </w:r>
      <w:r>
        <w:rPr>
          <w:b/>
        </w:rPr>
        <w:t>What does 'idempotent' buy me?</w:t>
      </w:r>
    </w:p>
    <w:p>
      <w:pPr>
        <w:spacing w:after="160"/>
        <w:ind w:left="432"/>
      </w:pPr>
      <w:r>
        <w:rPr>
          <w:b/>
        </w:rPr>
        <w:t xml:space="preserve">A.  </w:t>
      </w:r>
      <w:r>
        <w:t>You can re-process any date and the database updates that row instead of appending a duplicate — essential for a nightly job that might overlap previous runs.</w:t>
      </w:r>
    </w:p>
    <w:p>
      <w:pPr>
        <w:pStyle w:val="Heading2"/>
      </w:pPr>
      <w:r>
        <w:t>Section 5 — The pollution study, straight from SQL</w:t>
      </w:r>
    </w:p>
    <w:p>
      <w:r>
        <w:rPr>
          <w:b/>
          <w:color w:val="C2410C"/>
        </w:rPr>
        <w:t xml:space="preserve">In one line: </w:t>
      </w:r>
      <w:r>
        <w:t>Short SQL queries produce a monthly trend, a 'poor status' exceedance count, zone comparisons and a satellite↔in-situ join.</w:t>
      </w:r>
    </w:p>
    <w:p>
      <w:r>
        <w:rPr>
          <w:b/>
          <w:color w:val="115E59"/>
        </w:rPr>
        <w:t xml:space="preserve">What to say: </w:t>
      </w:r>
      <w:r>
        <w:t>Demonstrate that the questions a monitoring agency asks are now one query each: monthly-mean chlorophyll, a robust Theil-Sen trend (resistant to bloom spikes), the share of observations above a 'poor status' threshold per year, and a JOIN of satellite and in-situ. The exceedance counts spike in exactly 2019 and 2021 — the database detects the documented crises by itself.</w:t>
      </w:r>
    </w:p>
    <w:p>
      <w:r>
        <w:rPr>
          <w:b/>
          <w:color w:val="115E59"/>
        </w:rPr>
        <w:t xml:space="preserve">Why it matters: </w:t>
      </w:r>
      <w:r>
        <w:t>It closes the loop: the data layer they built answers real pollution questions, proving the whole pipeline works end to end.</w:t>
      </w:r>
    </w:p>
    <w:p>
      <w:r>
        <w:rPr>
          <w:b/>
          <w:color w:val="115E59"/>
        </w:rPr>
        <w:t>Likely questions</w:t>
      </w:r>
    </w:p>
    <w:p>
      <w:pPr>
        <w:spacing w:after="40"/>
      </w:pPr>
      <w:r>
        <w:rPr>
          <w:b/>
          <w:color w:val="C2410C"/>
        </w:rPr>
        <w:t xml:space="preserve">Q.  </w:t>
      </w:r>
      <w:r>
        <w:rPr>
          <w:b/>
        </w:rPr>
        <w:t>Why Theil-Sen instead of ordinary least squares?</w:t>
      </w:r>
    </w:p>
    <w:p>
      <w:pPr>
        <w:spacing w:after="160"/>
        <w:ind w:left="432"/>
      </w:pPr>
      <w:r>
        <w:rPr>
          <w:b/>
        </w:rPr>
        <w:t xml:space="preserve">A.  </w:t>
      </w:r>
      <w:r>
        <w:t>Theil-Sen is robust to outliers — a few extreme bloom months won't drag the trend line the way they would in OLS.</w:t>
      </w:r>
    </w:p>
    <w:p>
      <w:pPr>
        <w:pStyle w:val="Heading2"/>
      </w:pPr>
      <w:r>
        <w:t>Section 6 — Productionise &amp; scale</w:t>
      </w:r>
    </w:p>
    <w:p>
      <w:r>
        <w:rPr>
          <w:b/>
          <w:color w:val="C2410C"/>
        </w:rPr>
        <w:t xml:space="preserve">In one line: </w:t>
      </w:r>
      <w:r>
        <w:t>Wrap steps 1–4 in one idempotent function, schedule it, and know the PostGIS / DuckDB upgrade path.</w:t>
      </w:r>
    </w:p>
    <w:p>
      <w:r>
        <w:rPr>
          <w:b/>
          <w:color w:val="115E59"/>
        </w:rPr>
        <w:t xml:space="preserve">What to say: </w:t>
      </w:r>
      <w:r>
        <w:t>Show the update_database() skeleton: discover → download window → clean → extract → upsert, all idempotent. Then the scaling table: PostGIS for spatial queries and many users, DuckDB for querying terabytes of Parquet with no server, cron/Airflow for scheduling. The SQL they wrote transfers almost unchanged.</w:t>
      </w:r>
    </w:p>
    <w:p>
      <w:r>
        <w:rPr>
          <w:b/>
          <w:color w:val="115E59"/>
        </w:rPr>
        <w:t xml:space="preserve">Why it matters: </w:t>
      </w:r>
      <w:r>
        <w:t>It turns a one-off notebook into infrastructure — and reassures students the skills scale to a real research project. Swap the AOI and the database builds itself.</w:t>
      </w:r>
    </w:p>
    <w:p>
      <w:pPr>
        <w:pStyle w:val="Heading1"/>
        <w:pageBreakBefore/>
      </w:pPr>
      <w:r>
        <w:t>Appendix — One-line glossary (quick answers under pressure)</w:t>
      </w:r>
    </w:p>
    <w:p>
      <w:r>
        <w:rPr>
          <w:i w:val="0"/>
        </w:rPr>
        <w:t>Crisp definitions for the terms students ask about most. Each is phrased so you can say it out loud verbatim.</w:t>
      </w:r>
    </w:p>
    <w:tbl>
      <w:tblPr>
        <w:tblStyle w:val="LightList-Accent1"/>
        <w:tblW w:type="auto" w:w="0"/>
        <w:jc w:val="left"/>
        <w:tblLook w:firstColumn="1" w:firstRow="1" w:lastColumn="0" w:lastRow="0" w:noHBand="0" w:noVBand="1" w:val="04A0"/>
      </w:tblPr>
      <w:tblGrid>
        <w:gridCol w:w="4680"/>
        <w:gridCol w:w="4680"/>
      </w:tblGrid>
      <w:tr>
        <w:tc>
          <w:tcPr>
            <w:tcW w:type="dxa" w:w="2736"/>
          </w:tcPr>
          <w:p>
            <w:r>
              <w:rPr>
                <w:b/>
                <w:sz w:val="22"/>
              </w:rPr>
              <w:t>Term</w:t>
            </w:r>
          </w:p>
        </w:tc>
        <w:tc>
          <w:tcPr>
            <w:tcW w:type="dxa" w:w="6624"/>
          </w:tcPr>
          <w:p>
            <w:r>
              <w:rPr>
                <w:b/>
                <w:sz w:val="22"/>
              </w:rPr>
              <w:t>Say this</w:t>
            </w:r>
          </w:p>
        </w:tc>
      </w:tr>
      <w:tr>
        <w:tc>
          <w:tcPr>
            <w:tcW w:type="dxa" w:w="2736"/>
          </w:tcPr>
          <w:p>
            <w:r>
              <w:rPr>
                <w:b/>
                <w:color w:val="C2410C"/>
              </w:rPr>
              <w:t>Case-2 water</w:t>
            </w:r>
          </w:p>
        </w:tc>
        <w:tc>
          <w:tcPr>
            <w:tcW w:type="dxa" w:w="6624"/>
          </w:tcPr>
          <w:p>
            <w:r>
              <w:t>Optically complex water where sediment, CDOM and/or bottom vegetation — not just phytoplankton — drive the colour, breaking standard ocean-colour algorithms.</w:t>
            </w:r>
          </w:p>
        </w:tc>
      </w:tr>
      <w:tr>
        <w:tc>
          <w:tcPr>
            <w:tcW w:type="dxa" w:w="2736"/>
          </w:tcPr>
          <w:p>
            <w:r>
              <w:rPr>
                <w:b/>
                <w:color w:val="C2410C"/>
              </w:rPr>
              <w:t>C2RCC</w:t>
            </w:r>
          </w:p>
        </w:tc>
        <w:tc>
          <w:tcPr>
            <w:tcW w:type="dxa" w:w="6624"/>
          </w:tcPr>
          <w:p>
            <w:r>
              <w:t>A neural-network atmospheric correction trained for Case-2 water that estimates remote-sensing reflectance robust to those confounders.</w:t>
            </w:r>
          </w:p>
        </w:tc>
      </w:tr>
      <w:tr>
        <w:tc>
          <w:tcPr>
            <w:tcW w:type="dxa" w:w="2736"/>
          </w:tcPr>
          <w:p>
            <w:r>
              <w:rPr>
                <w:b/>
                <w:color w:val="C2410C"/>
              </w:rPr>
              <w:t>L1C vs L2A</w:t>
            </w:r>
          </w:p>
        </w:tc>
        <w:tc>
          <w:tcPr>
            <w:tcW w:type="dxa" w:w="6624"/>
          </w:tcPr>
          <w:p>
            <w:r>
              <w:t>L1C is top-of-atmosphere reflectance; L2A is surface reflectance after atmospheric correction. Use L2A for water — but remember it's a land correction, not C2RCC.</w:t>
            </w:r>
          </w:p>
        </w:tc>
      </w:tr>
      <w:tr>
        <w:tc>
          <w:tcPr>
            <w:tcW w:type="dxa" w:w="2736"/>
          </w:tcPr>
          <w:p>
            <w:r>
              <w:rPr>
                <w:b/>
                <w:color w:val="C2410C"/>
              </w:rPr>
              <w:t>NDCI</w:t>
            </w:r>
          </w:p>
        </w:tc>
        <w:tc>
          <w:tcPr>
            <w:tcW w:type="dxa" w:w="6624"/>
          </w:tcPr>
          <w:p>
            <w:r>
              <w:t>Normalized Difference Chlorophyll Index = (B05 − B04)/(B05 + B04); uses the red-edge, so it tracks chlorophyll even in turbid water.</w:t>
            </w:r>
          </w:p>
        </w:tc>
      </w:tr>
      <w:tr>
        <w:tc>
          <w:tcPr>
            <w:tcW w:type="dxa" w:w="2736"/>
          </w:tcPr>
          <w:p>
            <w:r>
              <w:rPr>
                <w:b/>
                <w:color w:val="C2410C"/>
              </w:rPr>
              <w:t>STAC</w:t>
            </w:r>
          </w:p>
        </w:tc>
        <w:tc>
          <w:tcPr>
            <w:tcW w:type="dxa" w:w="6624"/>
          </w:tcPr>
          <w:p>
            <w:r>
              <w:t>SpatioTemporal Asset Catalog — the modern, scriptable standard for discovering satellite imagery. CDSE's current root is stac.dataspace.copernicus.eu/v1.</w:t>
            </w:r>
          </w:p>
        </w:tc>
      </w:tr>
      <w:tr>
        <w:tc>
          <w:tcPr>
            <w:tcW w:type="dxa" w:w="2736"/>
          </w:tcPr>
          <w:p>
            <w:r>
              <w:rPr>
                <w:b/>
                <w:color w:val="C2410C"/>
              </w:rPr>
              <w:t>COG</w:t>
            </w:r>
          </w:p>
        </w:tc>
        <w:tc>
          <w:tcPr>
            <w:tcW w:type="dxa" w:w="6624"/>
          </w:tcPr>
          <w:p>
            <w:r>
              <w:t>Cloud-Optimised GeoTIFF — internally tiled so you can read just the AOI window over HTTP instead of the whole scene.</w:t>
            </w:r>
          </w:p>
        </w:tc>
      </w:tr>
      <w:tr>
        <w:tc>
          <w:tcPr>
            <w:tcW w:type="dxa" w:w="2736"/>
          </w:tcPr>
          <w:p>
            <w:r>
              <w:rPr>
                <w:b/>
                <w:color w:val="C2410C"/>
              </w:rPr>
              <w:t>CDSE</w:t>
            </w:r>
          </w:p>
        </w:tc>
        <w:tc>
          <w:tcPr>
            <w:tcW w:type="dxa" w:w="6624"/>
          </w:tcPr>
          <w:p>
            <w:r>
              <w:t>Copernicus Data Space Ecosystem — the current free access point for Sentinel data, replacing the retired SciHub.</w:t>
            </w:r>
          </w:p>
        </w:tc>
      </w:tr>
      <w:tr>
        <w:tc>
          <w:tcPr>
            <w:tcW w:type="dxa" w:w="2736"/>
          </w:tcPr>
          <w:p>
            <w:r>
              <w:rPr>
                <w:b/>
                <w:color w:val="C2410C"/>
              </w:rPr>
              <w:t>Process API</w:t>
            </w:r>
          </w:p>
        </w:tc>
        <w:tc>
          <w:tcPr>
            <w:tcW w:type="dxa" w:w="6624"/>
          </w:tcPr>
          <w:p>
            <w:r>
              <w:t>Sentinel Hub service that runs your evalscript server-side and returns the finished product for any date.</w:t>
            </w:r>
          </w:p>
        </w:tc>
      </w:tr>
      <w:tr>
        <w:tc>
          <w:tcPr>
            <w:tcW w:type="dxa" w:w="2736"/>
          </w:tcPr>
          <w:p>
            <w:r>
              <w:rPr>
                <w:b/>
                <w:color w:val="C2410C"/>
              </w:rPr>
              <w:t>Statistical API</w:t>
            </w:r>
          </w:p>
        </w:tc>
        <w:tc>
          <w:tcPr>
            <w:tcW w:type="dxa" w:w="6624"/>
          </w:tcPr>
          <w:p>
            <w:r>
              <w:t>Sentinel Hub service that returns statistics over an AOI for a whole time range in one request — no imagery downloaded.</w:t>
            </w:r>
          </w:p>
        </w:tc>
      </w:tr>
      <w:tr>
        <w:tc>
          <w:tcPr>
            <w:tcW w:type="dxa" w:w="2736"/>
          </w:tcPr>
          <w:p>
            <w:r>
              <w:rPr>
                <w:b/>
                <w:color w:val="C2410C"/>
              </w:rPr>
              <w:t>TimeSeriesSplit</w:t>
            </w:r>
          </w:p>
        </w:tc>
        <w:tc>
          <w:tcPr>
            <w:tcW w:type="dxa" w:w="6624"/>
          </w:tcPr>
          <w:p>
            <w:r>
              <w:t>Cross-validation that respects chronological order; answers 'can I predict future dates?'.</w:t>
            </w:r>
          </w:p>
        </w:tc>
      </w:tr>
      <w:tr>
        <w:tc>
          <w:tcPr>
            <w:tcW w:type="dxa" w:w="2736"/>
          </w:tcPr>
          <w:p>
            <w:r>
              <w:rPr>
                <w:b/>
                <w:color w:val="C2410C"/>
              </w:rPr>
              <w:t>GroupKFold (by station)</w:t>
            </w:r>
          </w:p>
        </w:tc>
        <w:tc>
          <w:tcPr>
            <w:tcW w:type="dxa" w:w="6624"/>
          </w:tcPr>
          <w:p>
            <w:r>
              <w:t>Cross-validation that holds out entire stations; answers the harder 'can I predict an unseen location?'.</w:t>
            </w:r>
          </w:p>
        </w:tc>
      </w:tr>
      <w:tr>
        <w:tc>
          <w:tcPr>
            <w:tcW w:type="dxa" w:w="2736"/>
          </w:tcPr>
          <w:p>
            <w:r>
              <w:rPr>
                <w:b/>
                <w:color w:val="C2410C"/>
              </w:rPr>
              <w:t>Isolation Forest</w:t>
            </w:r>
          </w:p>
        </w:tc>
        <w:tc>
          <w:tcPr>
            <w:tcW w:type="dxa" w:w="6624"/>
          </w:tcPr>
          <w:p>
            <w:r>
              <w:t>An unsupervised anomaly detector that isolates unusual multivariate points; we train it only on quiet pre-crisis years.</w:t>
            </w:r>
          </w:p>
        </w:tc>
      </w:tr>
      <w:tr>
        <w:tc>
          <w:tcPr>
            <w:tcW w:type="dxa" w:w="2736"/>
          </w:tcPr>
          <w:p>
            <w:r>
              <w:rPr>
                <w:b/>
                <w:color w:val="C2410C"/>
              </w:rPr>
              <w:t>Lead time vs detection delay</w:t>
            </w:r>
          </w:p>
        </w:tc>
        <w:tc>
          <w:tcPr>
            <w:tcW w:type="dxa" w:w="6624"/>
          </w:tcPr>
          <w:p>
            <w:r>
              <w:t>Lead time = days a flag fires BEFORE a crisis (a win); detection delay = days AFTER (a miss). Never merge them.</w:t>
            </w:r>
          </w:p>
        </w:tc>
      </w:tr>
      <w:tr>
        <w:tc>
          <w:tcPr>
            <w:tcW w:type="dxa" w:w="2736"/>
          </w:tcPr>
          <w:p>
            <w:r>
              <w:rPr>
                <w:b/>
                <w:color w:val="C2410C"/>
              </w:rPr>
              <w:t>Theil-Sen</w:t>
            </w:r>
          </w:p>
        </w:tc>
        <w:tc>
          <w:tcPr>
            <w:tcW w:type="dxa" w:w="6624"/>
          </w:tcPr>
          <w:p>
            <w:r>
              <w:t>A trend estimator robust to outliers — the right choice when a few bloom spikes would distort an ordinary regression.</w:t>
            </w:r>
          </w:p>
        </w:tc>
      </w:tr>
      <w:tr>
        <w:tc>
          <w:tcPr>
            <w:tcW w:type="dxa" w:w="2736"/>
          </w:tcPr>
          <w:p>
            <w:r>
              <w:rPr>
                <w:b/>
                <w:color w:val="C2410C"/>
              </w:rPr>
              <w:t>Idempotent write</w:t>
            </w:r>
          </w:p>
        </w:tc>
        <w:tc>
          <w:tcPr>
            <w:tcW w:type="dxa" w:w="6624"/>
          </w:tcPr>
          <w:p>
            <w:r>
              <w:t>A write that, repeated, leaves the database unchanged — here via UNIQUE + INSERT OR REPLACE — so a scheduled job never duplicates.</w:t>
            </w:r>
          </w:p>
        </w:tc>
      </w:tr>
      <w:tr>
        <w:tc>
          <w:tcPr>
            <w:tcW w:type="dxa" w:w="2736"/>
          </w:tcPr>
          <w:p>
            <w:r>
              <w:rPr>
                <w:b/>
                <w:color w:val="C2410C"/>
              </w:rPr>
              <w:t>SQLite + Parquet</w:t>
            </w:r>
          </w:p>
        </w:tc>
        <w:tc>
          <w:tcPr>
            <w:tcW w:type="dxa" w:w="6624"/>
          </w:tcPr>
          <w:p>
            <w:r>
              <w:t>The hybrid store: SQLite (one file, full SQL) for queryable tables; Parquet (columnar, compressed) for bulk per-pixel arrays.</w:t>
            </w:r>
          </w:p>
        </w:tc>
      </w:tr>
      <w:tr>
        <w:tc>
          <w:tcPr>
            <w:tcW w:type="dxa" w:w="2736"/>
          </w:tcPr>
          <w:p>
            <w:r>
              <w:rPr>
                <w:b/>
                <w:color w:val="C2410C"/>
              </w:rPr>
              <w:t>DANA</w:t>
            </w:r>
          </w:p>
        </w:tc>
        <w:tc>
          <w:tcPr>
            <w:tcW w:type="dxa" w:w="6624"/>
          </w:tcPr>
          <w:p>
            <w:r>
              <w:t>Depresión Aislada en Niveles Altos — a cut-off cold drop producing extreme convective rain over SE Spain; the 2019 flood trigger.</w:t>
            </w:r>
          </w:p>
        </w:tc>
      </w:tr>
    </w:tbl>
    <w:p/>
    <w:p>
      <w:r>
        <w:rPr>
          <w:i/>
          <w:color w:val="6B6157"/>
          <w:sz w:val="19"/>
        </w:rPr>
        <w:t>Mar Menor EO Workshop — instructor study guide. Pair with the slide decks (slides/) and the three notebooks (notebooks/).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C2410C"/>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Georgia" w:hAnsi="Georgia"/>
      <w:b/>
      <w:bCs/>
      <w:color w:val="115E59"/>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Georgia" w:hAnsi="Georgia"/>
      <w:b/>
      <w:bCs/>
      <w:color w:val="0E1A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