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6D6D1E"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6D6D1E"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6D6D1E"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6D6D1E"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6D6D1E"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6D6D1E"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6D6D1E"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6D6D1E"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6D6D1E"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6D6D1E"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6D6D1E"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6D6D1E"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6D6D1E"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 xml:space="preserve">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w:t>
      </w:r>
      <w:r w:rsidR="00165654">
        <w:rPr>
          <w:rFonts w:ascii="Times New Roman" w:hAnsi="Times New Roman" w:cs="Times New Roman"/>
          <w:bCs/>
          <w:sz w:val="24"/>
          <w:szCs w:val="24"/>
        </w:rPr>
        <w:t xml:space="preserve">el tratamiento </w:t>
      </w:r>
      <w:r w:rsidR="00016172">
        <w:rPr>
          <w:rFonts w:ascii="Times New Roman" w:hAnsi="Times New Roman" w:cs="Times New Roman"/>
          <w:bCs/>
          <w:sz w:val="24"/>
          <w:szCs w:val="24"/>
        </w:rPr>
        <w:t>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bookmarkStart w:id="7" w:name="_GoBack"/>
      <w:bookmarkEnd w:id="7"/>
    </w:p>
    <w:p w:rsidR="006268DE" w:rsidRDefault="002424B8" w:rsidP="00BC1C85">
      <w:pPr>
        <w:pStyle w:val="Ttulo1"/>
        <w:numPr>
          <w:ilvl w:val="0"/>
          <w:numId w:val="3"/>
        </w:numPr>
      </w:pPr>
      <w:bookmarkStart w:id="8" w:name="_Toc55298739"/>
      <w:r>
        <w:lastRenderedPageBreak/>
        <w:t>Planteamiento del problema</w:t>
      </w:r>
      <w:bookmarkEnd w:id="8"/>
    </w:p>
    <w:p w:rsidR="002424B8" w:rsidRDefault="00D45A8F" w:rsidP="00A53E78">
      <w:r>
        <w:t xml:space="preserve">Una de las primeras actividades… visitar … en la cual se presentó el circuito circular … posteriormente … aguas residuales de Xochimilco-&gt; investigación sobre la cantidad de aguas de Xochimilco… </w:t>
      </w:r>
      <w:r w:rsidR="00A53E78">
        <w:t xml:space="preserve"> por qué el proyecto debería llevar a cabo</w:t>
      </w:r>
    </w:p>
    <w:p w:rsidR="002424B8" w:rsidRDefault="00BC1C85" w:rsidP="00BC1C85">
      <w:pPr>
        <w:pStyle w:val="Ttulo2"/>
        <w:ind w:firstLine="708"/>
      </w:pPr>
      <w:bookmarkStart w:id="9" w:name="_Toc55298740"/>
      <w:r>
        <w:t xml:space="preserve">1.1 </w:t>
      </w:r>
      <w:r w:rsidR="002424B8">
        <w:t>Justificación</w:t>
      </w:r>
      <w:bookmarkEnd w:id="9"/>
    </w:p>
    <w:p w:rsidR="002424B8" w:rsidRPr="002424B8" w:rsidRDefault="00D45A8F" w:rsidP="002424B8">
      <w:r>
        <w:t xml:space="preserve">El impacto Por </w:t>
      </w:r>
      <w:proofErr w:type="spellStart"/>
      <w:r>
        <w:t>qu</w:t>
      </w:r>
      <w:proofErr w:type="spellEnd"/>
      <w:r>
        <w:t xml:space="preserve">´´e sería importante </w:t>
      </w:r>
      <w:proofErr w:type="spellStart"/>
      <w:r>
        <w:t>tranformar</w:t>
      </w:r>
      <w:proofErr w:type="spellEnd"/>
      <w:r>
        <w:t xml:space="preserve"> el agua de </w:t>
      </w:r>
      <w:proofErr w:type="spellStart"/>
      <w:r>
        <w:t>xochimilco</w:t>
      </w:r>
      <w:proofErr w:type="spellEnd"/>
    </w:p>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lastRenderedPageBreak/>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lastRenderedPageBreak/>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4237D1" w:rsidP="00861E64">
      <w:pPr>
        <w:tabs>
          <w:tab w:val="right" w:pos="8075"/>
        </w:tabs>
        <w:jc w:val="both"/>
        <w:rPr>
          <w:rFonts w:ascii="Times New Roman" w:hAnsi="Times New Roman" w:cs="Times New Roman"/>
          <w:bCs/>
          <w:sz w:val="24"/>
          <w:szCs w:val="24"/>
        </w:rPr>
      </w:pPr>
    </w:p>
    <w:sectPr w:rsidR="004237D1"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D1E" w:rsidRDefault="006D6D1E" w:rsidP="009A2DE8">
      <w:pPr>
        <w:spacing w:after="0" w:line="240" w:lineRule="auto"/>
      </w:pPr>
      <w:r>
        <w:separator/>
      </w:r>
    </w:p>
  </w:endnote>
  <w:endnote w:type="continuationSeparator" w:id="0">
    <w:p w:rsidR="006D6D1E" w:rsidRDefault="006D6D1E"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D1E" w:rsidRDefault="006D6D1E" w:rsidP="009A2DE8">
      <w:pPr>
        <w:spacing w:after="0" w:line="240" w:lineRule="auto"/>
      </w:pPr>
      <w:r>
        <w:separator/>
      </w:r>
    </w:p>
  </w:footnote>
  <w:footnote w:type="continuationSeparator" w:id="0">
    <w:p w:rsidR="006D6D1E" w:rsidRDefault="006D6D1E"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7FBB"/>
    <w:rsid w:val="00165654"/>
    <w:rsid w:val="00166CF6"/>
    <w:rsid w:val="00172C96"/>
    <w:rsid w:val="00181C49"/>
    <w:rsid w:val="001B1E05"/>
    <w:rsid w:val="001B4202"/>
    <w:rsid w:val="001C6CC7"/>
    <w:rsid w:val="001D12B4"/>
    <w:rsid w:val="001D4D1A"/>
    <w:rsid w:val="001D785F"/>
    <w:rsid w:val="002001F1"/>
    <w:rsid w:val="002323D0"/>
    <w:rsid w:val="002424B8"/>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09B"/>
    <w:rsid w:val="006268DE"/>
    <w:rsid w:val="00627F56"/>
    <w:rsid w:val="00652783"/>
    <w:rsid w:val="006A025D"/>
    <w:rsid w:val="006A048C"/>
    <w:rsid w:val="006A60AB"/>
    <w:rsid w:val="006B6183"/>
    <w:rsid w:val="006B7171"/>
    <w:rsid w:val="006D1726"/>
    <w:rsid w:val="006D6D1E"/>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08F2BDB5"/>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DA99D-3455-45DB-8BC5-D0BD1B55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5181</TotalTime>
  <Pages>9</Pages>
  <Words>1488</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73</cp:revision>
  <cp:lastPrinted>2016-02-25T18:51:00Z</cp:lastPrinted>
  <dcterms:created xsi:type="dcterms:W3CDTF">2016-02-25T18:09:00Z</dcterms:created>
  <dcterms:modified xsi:type="dcterms:W3CDTF">2020-11-06T15:37:00Z</dcterms:modified>
</cp:coreProperties>
</file>