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D37EE5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D37EE5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D37EE5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D37EE5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D37EE5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D37EE5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D37EE5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D37EE5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D37EE5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D37EE5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D37EE5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D37EE5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D37EE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C2E9F" w:rsidRPr="00A25DE2" w:rsidRDefault="006910D9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Las chinampas son reconocidas como un enlace con el México prehispánico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actualmente es protagonista de las actividades económicas de los pobladores en la zona; asimismo, ejemplifica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constante evolución en procedimientos agrícolas, ya que, además del aprovechamiento para canales de riego naturales, su suelo fértil y los residuos orgánicos para la producción, las chinampas se han integrado de manera tan natural al ecosistema que su presencia ayuda a limitar las inundaciones en el área de la Ciudad de México [5]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6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48000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D37EE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EE5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D37EE5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1F4D68" w:rsidRDefault="00477B99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agua puede ser utilizada varias veces, por ejemplo, para consumo humano, riego, generación de energía eléctrica, remoción de desechos, y al mismo tiempo es fundamental para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la viabilidad ecológica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los ecosistemas naturales.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este sentido,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presente trabajo busca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ofrecer una calidad de agua utilizable domésticamente para los pobladores de la Alcaldía Xochimilco sin exponerlos a los riesgos de salud que los contaminantes presentes en el agua puedan ocasionarles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E33D17">
        <w:rPr>
          <w:rFonts w:cstheme="minorHAnsi"/>
          <w:color w:val="000000" w:themeColor="text1"/>
          <w:sz w:val="24"/>
          <w:szCs w:val="24"/>
          <w:shd w:val="clear" w:color="auto" w:fill="FFFFFF"/>
        </w:rPr>
        <w:t>auxiliar la deficiencia de las PTARs existentes que desembocan en la ZLX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que generan un costo social y la pérdida de bienestar general.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1F4D68" w:rsidRDefault="001F4D68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0" w:name="_Toc55298742"/>
      <w:r>
        <w:lastRenderedPageBreak/>
        <w:t>Objetivos específicos</w:t>
      </w:r>
      <w:bookmarkEnd w:id="10"/>
    </w:p>
    <w:p w:rsidR="00DA62F4" w:rsidRPr="00DA62F4" w:rsidRDefault="00DA62F4" w:rsidP="00DA62F4"/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Desglosar el proceso de diseño para un proyecto funcional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subsistemas que componen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Describir las funciones que desempeñan los subsistemas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requerimientos y especificaciones a tomar en cuenta en la construcción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Seleccionar los materiales y piezas potenciales que idealmente integrarán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Desarrollar los algoritmos para la comunicación y despliegue de la información en 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Hacer una prueba en sitio del RBT</w:t>
      </w:r>
    </w:p>
    <w:p w:rsidR="00DA62F4" w:rsidRPr="00DA62F4" w:rsidRDefault="00DA62F4" w:rsidP="00F6643B"/>
    <w:p w:rsidR="00B075B7" w:rsidRDefault="002424B8" w:rsidP="004F12D0">
      <w:pPr>
        <w:pStyle w:val="Ttulo1"/>
        <w:numPr>
          <w:ilvl w:val="0"/>
          <w:numId w:val="3"/>
        </w:numPr>
      </w:pPr>
      <w:bookmarkStart w:id="11" w:name="_Toc55298743"/>
      <w:r>
        <w:t>Identificación de Necesidades y Especificaciones</w:t>
      </w:r>
      <w:bookmarkStart w:id="12" w:name="_Toc55298744"/>
      <w:bookmarkEnd w:id="11"/>
    </w:p>
    <w:p w:rsidR="004F12D0" w:rsidRDefault="004F12D0" w:rsidP="004F12D0"/>
    <w:p w:rsidR="004F12D0" w:rsidRPr="00E56483" w:rsidRDefault="00006A86" w:rsidP="00E56483">
      <w:pPr>
        <w:spacing w:line="360" w:lineRule="auto"/>
        <w:jc w:val="both"/>
        <w:rPr>
          <w:sz w:val="24"/>
          <w:szCs w:val="24"/>
        </w:rPr>
      </w:pPr>
      <w:r w:rsidRPr="00E56483">
        <w:rPr>
          <w:sz w:val="24"/>
          <w:szCs w:val="24"/>
        </w:rPr>
        <w:t>Dentro del grupo de clase se propusieron dos formas de trabajo</w:t>
      </w:r>
      <w:r w:rsidR="00803D91" w:rsidRPr="00E56483">
        <w:rPr>
          <w:sz w:val="24"/>
          <w:szCs w:val="24"/>
        </w:rPr>
        <w:t xml:space="preserve"> para el RBT</w:t>
      </w:r>
      <w:r w:rsidRPr="00E56483">
        <w:rPr>
          <w:sz w:val="24"/>
          <w:szCs w:val="24"/>
        </w:rPr>
        <w:t xml:space="preserve">, por un </w:t>
      </w:r>
      <w:r w:rsidR="00A816A2" w:rsidRPr="00E56483">
        <w:rPr>
          <w:sz w:val="24"/>
          <w:szCs w:val="24"/>
        </w:rPr>
        <w:t>lad</w:t>
      </w:r>
      <w:r w:rsidR="00A816A2" w:rsidRPr="00FA4F16">
        <w:rPr>
          <w:sz w:val="24"/>
          <w:szCs w:val="24"/>
        </w:rPr>
        <w:t>o,</w:t>
      </w:r>
      <w:r w:rsidRPr="00FA4F16">
        <w:rPr>
          <w:sz w:val="24"/>
          <w:szCs w:val="24"/>
        </w:rPr>
        <w:t xml:space="preserve"> el desarrollo del mismo proyecto en diferentes equipos </w:t>
      </w:r>
      <w:r w:rsidR="00803D91" w:rsidRPr="00FA4F16">
        <w:rPr>
          <w:sz w:val="24"/>
          <w:szCs w:val="24"/>
        </w:rPr>
        <w:t>y,</w:t>
      </w:r>
      <w:r w:rsidRPr="00FA4F16">
        <w:rPr>
          <w:sz w:val="24"/>
          <w:szCs w:val="24"/>
        </w:rPr>
        <w:t xml:space="preserve"> por otro lado, la del desarrollo de un solo proyecto conformado por </w:t>
      </w:r>
      <w:r w:rsidR="00803D91" w:rsidRPr="00FA4F16">
        <w:rPr>
          <w:sz w:val="24"/>
          <w:szCs w:val="24"/>
        </w:rPr>
        <w:t>subsistemas.</w:t>
      </w:r>
      <w:r w:rsidR="00FA4F16" w:rsidRPr="00FA4F16">
        <w:rPr>
          <w:sz w:val="24"/>
          <w:szCs w:val="24"/>
        </w:rPr>
        <w:t xml:space="preserve"> Con base en el tiempo de desarrollo y la optimización del proceso de diseño, se acordó el desarrollo de un solo proyecto conformado por subsistemas.</w:t>
      </w:r>
      <w:r w:rsidR="00803D91" w:rsidRPr="00E56483">
        <w:rPr>
          <w:sz w:val="24"/>
          <w:szCs w:val="24"/>
        </w:rPr>
        <w:t xml:space="preserve"> Los subsistemas seleccionados por los alumnos y maestro se muestran en la tabla 1.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803D91" w:rsidTr="0080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</w:pPr>
            <w:r>
              <w:t>Subsistema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general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Instrumentación</w:t>
            </w:r>
          </w:p>
        </w:tc>
        <w:tc>
          <w:tcPr>
            <w:tcW w:w="4829" w:type="dxa"/>
          </w:tcPr>
          <w:p w:rsidR="00803D91" w:rsidRPr="00057297" w:rsidRDefault="00803D91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 xml:space="preserve">Encargado de </w:t>
            </w:r>
            <w:r w:rsidR="00085AF6" w:rsidRPr="00057297">
              <w:rPr>
                <w:sz w:val="24"/>
                <w:szCs w:val="24"/>
              </w:rPr>
              <w:t>capturar, analizar y enviar información de las variables de estudio.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Interfaz</w:t>
            </w:r>
          </w:p>
        </w:tc>
        <w:tc>
          <w:tcPr>
            <w:tcW w:w="4829" w:type="dxa"/>
          </w:tcPr>
          <w:p w:rsidR="00803D91" w:rsidRPr="00057297" w:rsidRDefault="00085AF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desplegar la información de las variables de estudio</w:t>
            </w:r>
            <w:r w:rsidR="004D34C6" w:rsidRPr="00057297">
              <w:rPr>
                <w:sz w:val="24"/>
                <w:szCs w:val="24"/>
              </w:rPr>
              <w:t xml:space="preserve"> de forma local y en </w:t>
            </w:r>
            <w:r w:rsidR="004C20F3">
              <w:rPr>
                <w:sz w:val="24"/>
                <w:szCs w:val="24"/>
              </w:rPr>
              <w:t>forma remota</w:t>
            </w:r>
            <w:r w:rsidR="004D34C6" w:rsidRPr="00057297">
              <w:rPr>
                <w:sz w:val="24"/>
                <w:szCs w:val="24"/>
              </w:rPr>
              <w:t>.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Bomba</w:t>
            </w:r>
            <w:r w:rsidR="004D34C6" w:rsidRPr="00057297">
              <w:rPr>
                <w:sz w:val="24"/>
                <w:szCs w:val="24"/>
              </w:rPr>
              <w:t xml:space="preserve"> </w:t>
            </w:r>
            <w:r w:rsidRPr="00057297">
              <w:rPr>
                <w:sz w:val="24"/>
                <w:szCs w:val="24"/>
              </w:rPr>
              <w:t>y energía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</w:t>
            </w:r>
            <w:r w:rsidR="00952F54" w:rsidRPr="00057297">
              <w:rPr>
                <w:sz w:val="24"/>
                <w:szCs w:val="24"/>
              </w:rPr>
              <w:t xml:space="preserve"> proveer la energía necesaria a los subsistemas</w:t>
            </w:r>
            <w:r w:rsidR="009A44F4">
              <w:rPr>
                <w:sz w:val="24"/>
                <w:szCs w:val="24"/>
              </w:rPr>
              <w:t xml:space="preserve"> y la activación o desactivación de la bomba y el soplador.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Ensamble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dar soporte y protección a los elementos que conforman el RBT</w:t>
            </w:r>
          </w:p>
        </w:tc>
      </w:tr>
    </w:tbl>
    <w:p w:rsidR="00E56483" w:rsidRDefault="00D37EE5" w:rsidP="00E56483">
      <w:pPr>
        <w:jc w:val="center"/>
      </w:pPr>
      <w:r>
        <w:rPr>
          <w:noProof/>
        </w:rPr>
        <w:pict>
          <v:shape id="_x0000_s1067" type="#_x0000_t202" style="position:absolute;left:0;text-align:left;margin-left:133.4pt;margin-top:5.45pt;width:202.95pt;height:30.9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7">
              <w:txbxContent>
                <w:p w:rsidR="00E56483" w:rsidRPr="0046005D" w:rsidRDefault="00E56483" w:rsidP="00E5648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1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Subsistemas del RBT con su respectiva función general.</w:t>
                  </w:r>
                </w:p>
              </w:txbxContent>
            </v:textbox>
            <w10:wrap type="square"/>
          </v:shape>
        </w:pict>
      </w:r>
    </w:p>
    <w:p w:rsidR="00057297" w:rsidRDefault="00057297" w:rsidP="0043538F">
      <w:pPr>
        <w:spacing w:line="360" w:lineRule="auto"/>
      </w:pPr>
    </w:p>
    <w:p w:rsidR="00FA4F16" w:rsidRDefault="006D5B5A" w:rsidP="0043538F">
      <w:pPr>
        <w:spacing w:line="360" w:lineRule="auto"/>
        <w:rPr>
          <w:sz w:val="24"/>
          <w:szCs w:val="24"/>
        </w:rPr>
      </w:pPr>
      <w:r w:rsidRPr="0043538F">
        <w:rPr>
          <w:sz w:val="24"/>
          <w:szCs w:val="24"/>
        </w:rPr>
        <w:t>Después</w:t>
      </w:r>
      <w:r w:rsidR="00FA4F16" w:rsidRPr="0043538F">
        <w:rPr>
          <w:sz w:val="24"/>
          <w:szCs w:val="24"/>
        </w:rPr>
        <w:t xml:space="preserve"> de analizar los resultados obtenidos en la visita </w:t>
      </w:r>
      <w:r w:rsidRPr="0043538F">
        <w:rPr>
          <w:sz w:val="24"/>
          <w:szCs w:val="24"/>
        </w:rPr>
        <w:t xml:space="preserve">guiada a la Facultad de Química, los </w:t>
      </w:r>
      <w:r w:rsidR="0043538F" w:rsidRPr="0043538F">
        <w:rPr>
          <w:sz w:val="24"/>
          <w:szCs w:val="24"/>
        </w:rPr>
        <w:t>alumnos identificaron las necesidades y especificaciones del RBT, las cuales se muestran en las tablas 2</w:t>
      </w:r>
      <w:r w:rsidR="0043538F">
        <w:rPr>
          <w:sz w:val="24"/>
          <w:szCs w:val="24"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43538F" w:rsidTr="00F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Necesidad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panel de control que permita el arranque y paro de los elementos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 funcionar en un ciclo continuo y parar cuando el usuario lo considere adecuado.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Cuantificar las variables de pH, oxígeno disuelto, turbulencia y turbidez a la entrada y a la salida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obtendrá información antes y después del tratamiento para determinar la calidad del proceso.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un sistema de interfaz que despliegue la información de las variables de estudio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RBT mostrará la información de las variables </w:t>
            </w:r>
            <w:proofErr w:type="spellStart"/>
            <w:r>
              <w:rPr>
                <w:sz w:val="24"/>
                <w:szCs w:val="24"/>
              </w:rPr>
              <w:t>sensadas</w:t>
            </w:r>
            <w:proofErr w:type="spellEnd"/>
            <w:r>
              <w:rPr>
                <w:sz w:val="24"/>
                <w:szCs w:val="24"/>
              </w:rPr>
              <w:t xml:space="preserve"> en una interfaz para el operario y así poder coordinar y controlar los procesos.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Recircular el agua residual cuando no cumpla con los factores de calidad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no cumplir los estándares de calidad en el tratamiento, el RBT deberá recircular el agua para mejorar las características del líquido.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sistema de purga autónoma en el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deberá purgar la bomba y el soplador de manera autónoma cuando exista un fluido que interfiera con el proceso.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Almacenar el agua tratada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contará con un sistema de almacenamiento para el agua y disponerla cuando los usuarios la necesiten.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tecnología de adquisición de datos vía remota al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operará a distancia por lo que enviará datos vía remota al centro de control.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542348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03D91" w:rsidRPr="00A46BD5" w:rsidRDefault="00D37EE5" w:rsidP="00A46BD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9" type="#_x0000_t202" style="position:absolute;left:0;text-align:left;margin-left:136.4pt;margin-top:6.6pt;width:202.95pt;height:30.9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9">
              <w:txbxContent>
                <w:p w:rsidR="0043538F" w:rsidRPr="0046005D" w:rsidRDefault="0043538F" w:rsidP="0043538F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F04321">
                    <w:rPr>
                      <w:sz w:val="18"/>
                      <w:szCs w:val="18"/>
                    </w:rPr>
                    <w:t>Necesidades y requerimientos del RBT</w:t>
                  </w:r>
                </w:p>
              </w:txbxContent>
            </v:textbox>
            <w10:wrap type="square"/>
          </v:shape>
        </w:pict>
      </w:r>
    </w:p>
    <w:p w:rsidR="00F676C4" w:rsidRDefault="00F676C4" w:rsidP="00F676C4"/>
    <w:p w:rsidR="00CC696E" w:rsidRDefault="00CC696E" w:rsidP="00F676C4"/>
    <w:p w:rsidR="00CC696E" w:rsidRPr="00F676C4" w:rsidRDefault="00CC696E" w:rsidP="00F676C4"/>
    <w:p w:rsidR="00E86BBC" w:rsidRDefault="00397D8D" w:rsidP="00D2574B">
      <w:pPr>
        <w:pStyle w:val="Ttulo2"/>
        <w:ind w:firstLine="708"/>
      </w:pPr>
      <w:r>
        <w:lastRenderedPageBreak/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Start w:id="13" w:name="_Toc55298745"/>
      <w:bookmarkEnd w:id="12"/>
    </w:p>
    <w:p w:rsidR="00D2574B" w:rsidRDefault="00D2574B" w:rsidP="00D2574B"/>
    <w:p w:rsidR="00D2574B" w:rsidRDefault="009A44F4" w:rsidP="008239CC">
      <w:pPr>
        <w:spacing w:line="360" w:lineRule="auto"/>
        <w:jc w:val="both"/>
        <w:rPr>
          <w:sz w:val="24"/>
          <w:szCs w:val="24"/>
        </w:rPr>
      </w:pPr>
      <w:r w:rsidRPr="00CC696E">
        <w:rPr>
          <w:sz w:val="24"/>
          <w:szCs w:val="24"/>
        </w:rPr>
        <w:t>El subsistema de instrumentación se encargará de proporcionar al sistema de interfaz los datos sobre el estado de las variables de pH, oxígeno disuelto, turbulencia y turbidez. De igual forma, transmitirá el estado</w:t>
      </w:r>
      <w:r w:rsidR="00CC696E" w:rsidRPr="00CC696E">
        <w:rPr>
          <w:sz w:val="24"/>
          <w:szCs w:val="24"/>
        </w:rPr>
        <w:t xml:space="preserve"> ON/OFF</w:t>
      </w:r>
      <w:r w:rsidRPr="00CC696E">
        <w:rPr>
          <w:sz w:val="24"/>
          <w:szCs w:val="24"/>
        </w:rPr>
        <w:t xml:space="preserve"> de la bomba </w:t>
      </w:r>
      <w:r w:rsidR="00CC696E" w:rsidRPr="00CC696E">
        <w:rPr>
          <w:sz w:val="24"/>
          <w:szCs w:val="24"/>
        </w:rPr>
        <w:t>y del soplador</w:t>
      </w:r>
      <w:r w:rsidR="00CC696E">
        <w:rPr>
          <w:sz w:val="24"/>
          <w:szCs w:val="24"/>
        </w:rPr>
        <w:t xml:space="preserve"> en forma de campo y remota</w:t>
      </w:r>
      <w:r w:rsidR="00CC696E" w:rsidRPr="00CC696E">
        <w:rPr>
          <w:sz w:val="24"/>
          <w:szCs w:val="24"/>
        </w:rPr>
        <w:t xml:space="preserve">.  </w:t>
      </w:r>
      <w:r w:rsidR="00CC696E">
        <w:rPr>
          <w:sz w:val="24"/>
          <w:szCs w:val="24"/>
        </w:rPr>
        <w:t>Las necesidades de este subsistema se muestran a continuación: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Cuantificar los valores de pH, oxígeno disuelto, turbulencia y turbidez del agua en el RBT.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Comunicar local y remota del RBT con el operario.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un control local y remoto de la circulación y retroalimentación del agua.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Monitorear local y remoto las variables de estudio</w:t>
      </w:r>
    </w:p>
    <w:p w:rsidR="00CC696E" w:rsidRDefault="00CC696E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Controlar la activación y paro de la bomba y soplador, así como del suministro de energía de forma local y remota.</w:t>
      </w:r>
    </w:p>
    <w:p w:rsidR="00CC696E" w:rsidRDefault="006C57AC" w:rsidP="008239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subsistema de interfaz se encargará de desplegar el estado del sistema, los datos sobre las variables de estudio</w:t>
      </w:r>
      <w:r w:rsidR="008239CC">
        <w:rPr>
          <w:sz w:val="24"/>
          <w:szCs w:val="24"/>
        </w:rPr>
        <w:t>,</w:t>
      </w:r>
      <w:r>
        <w:rPr>
          <w:sz w:val="24"/>
          <w:szCs w:val="24"/>
        </w:rPr>
        <w:t xml:space="preserve"> la etapa de circulación o retroalimentación del agua</w:t>
      </w:r>
      <w:r w:rsidR="008239CC">
        <w:rPr>
          <w:sz w:val="24"/>
          <w:szCs w:val="24"/>
        </w:rPr>
        <w:t xml:space="preserve"> y las opciones de purga manual y automática</w:t>
      </w:r>
      <w:r>
        <w:rPr>
          <w:sz w:val="24"/>
          <w:szCs w:val="24"/>
        </w:rPr>
        <w:t xml:space="preserve">, tomando en cuenta </w:t>
      </w:r>
      <w:r w:rsidR="008239CC">
        <w:rPr>
          <w:sz w:val="24"/>
          <w:szCs w:val="24"/>
        </w:rPr>
        <w:t>un enfoque centrado en el usuario. Las necesidades de este subsistema se muestran a continuación:</w:t>
      </w:r>
    </w:p>
    <w:p w:rsidR="008239CC" w:rsidRDefault="001E67B9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Transmitir la información proveniente de los sensores de manera óptima.</w:t>
      </w:r>
    </w:p>
    <w:p w:rsidR="001E67B9" w:rsidRDefault="001E67B9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Desplegar la información proveniente de los sensores de manera clara y sencilla para el operario.</w:t>
      </w:r>
    </w:p>
    <w:p w:rsidR="001E67B9" w:rsidRDefault="001E67B9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Administrar l</w:t>
      </w:r>
      <w:r w:rsidR="005D69A5">
        <w:rPr>
          <w:sz w:val="24"/>
          <w:szCs w:val="24"/>
        </w:rPr>
        <w:t>os datos provenientes de los sensores de manera local y remota.</w:t>
      </w:r>
    </w:p>
    <w:p w:rsidR="005D69A5" w:rsidRDefault="005D69A5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Mostrar los estados de energía, circulación y retroalimentación del agua y purga del RBT de forma clara y sencilla para el operario.</w:t>
      </w:r>
    </w:p>
    <w:p w:rsidR="005D69A5" w:rsidRDefault="005D69A5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Ubicar cada opción dentro de la interfaz tomando como base la experiencia del usuario y la usabilidad del subsistema.</w:t>
      </w:r>
    </w:p>
    <w:p w:rsidR="005D69A5" w:rsidRDefault="005D69A5" w:rsidP="008239CC">
      <w:pPr>
        <w:pStyle w:val="Prrafode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Generar un sistema informático cuyo mantenimiento sea óptimo.</w:t>
      </w:r>
    </w:p>
    <w:p w:rsidR="005D69A5" w:rsidRDefault="005D69A5" w:rsidP="005D69A5">
      <w:pPr>
        <w:spacing w:line="360" w:lineRule="auto"/>
        <w:jc w:val="both"/>
        <w:rPr>
          <w:sz w:val="24"/>
          <w:szCs w:val="24"/>
        </w:rPr>
      </w:pPr>
    </w:p>
    <w:p w:rsidR="005D69A5" w:rsidRPr="005D69A5" w:rsidRDefault="005D69A5" w:rsidP="005D69A5">
      <w:pPr>
        <w:spacing w:line="360" w:lineRule="auto"/>
        <w:jc w:val="both"/>
        <w:rPr>
          <w:sz w:val="24"/>
          <w:szCs w:val="24"/>
        </w:rPr>
      </w:pPr>
      <w:bookmarkStart w:id="14" w:name="_GoBack"/>
      <w:bookmarkEnd w:id="14"/>
    </w:p>
    <w:p w:rsidR="008239CC" w:rsidRPr="00CC696E" w:rsidRDefault="008239CC" w:rsidP="00CC696E">
      <w:pPr>
        <w:jc w:val="both"/>
        <w:rPr>
          <w:sz w:val="24"/>
          <w:szCs w:val="24"/>
        </w:rPr>
      </w:pPr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3"/>
    </w:p>
    <w:p w:rsidR="002424B8" w:rsidRDefault="002424B8" w:rsidP="002424B8"/>
    <w:p w:rsidR="00D2574B" w:rsidRPr="002424B8" w:rsidRDefault="00D2574B" w:rsidP="002424B8">
      <w:r>
        <w:t xml:space="preserve">Hola </w:t>
      </w:r>
      <w:proofErr w:type="spellStart"/>
      <w:r>
        <w:t>aqui</w:t>
      </w:r>
      <w:proofErr w:type="spellEnd"/>
    </w:p>
    <w:p w:rsidR="002424B8" w:rsidRDefault="00397D8D" w:rsidP="00397D8D">
      <w:pPr>
        <w:pStyle w:val="Ttulo2"/>
        <w:ind w:firstLine="708"/>
      </w:pPr>
      <w:bookmarkStart w:id="15" w:name="_Toc55298746"/>
      <w:r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D2574B" w:rsidRDefault="00D2574B" w:rsidP="002424B8">
      <w:r>
        <w:t xml:space="preserve">Hola </w:t>
      </w:r>
      <w:proofErr w:type="spellStart"/>
      <w:r>
        <w:t>aqui</w:t>
      </w:r>
      <w:proofErr w:type="spellEnd"/>
    </w:p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lastRenderedPageBreak/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lastRenderedPageBreak/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11174F" w:rsidRDefault="0011174F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EE5" w:rsidRDefault="00D37EE5" w:rsidP="009A2DE8">
      <w:pPr>
        <w:spacing w:after="0" w:line="240" w:lineRule="auto"/>
      </w:pPr>
      <w:r>
        <w:separator/>
      </w:r>
    </w:p>
  </w:endnote>
  <w:endnote w:type="continuationSeparator" w:id="0">
    <w:p w:rsidR="00D37EE5" w:rsidRDefault="00D37EE5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EE5" w:rsidRDefault="00D37EE5" w:rsidP="009A2DE8">
      <w:pPr>
        <w:spacing w:after="0" w:line="240" w:lineRule="auto"/>
      </w:pPr>
      <w:r>
        <w:separator/>
      </w:r>
    </w:p>
  </w:footnote>
  <w:footnote w:type="continuationSeparator" w:id="0">
    <w:p w:rsidR="00D37EE5" w:rsidRDefault="00D37EE5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6914"/>
    <w:multiLevelType w:val="hybridMultilevel"/>
    <w:tmpl w:val="DD98A7C6"/>
    <w:lvl w:ilvl="0" w:tplc="A9DE51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3DD30A88"/>
    <w:multiLevelType w:val="hybridMultilevel"/>
    <w:tmpl w:val="31C26E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7A3ABB"/>
    <w:multiLevelType w:val="hybridMultilevel"/>
    <w:tmpl w:val="EDCC3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D1FE1"/>
    <w:multiLevelType w:val="hybridMultilevel"/>
    <w:tmpl w:val="500426E8"/>
    <w:lvl w:ilvl="0" w:tplc="6DB8B2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52D8"/>
    <w:multiLevelType w:val="hybridMultilevel"/>
    <w:tmpl w:val="62D615B8"/>
    <w:lvl w:ilvl="0" w:tplc="59DA98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15"/>
  </w:num>
  <w:num w:numId="10">
    <w:abstractNumId w:val="6"/>
  </w:num>
  <w:num w:numId="11">
    <w:abstractNumId w:val="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06A86"/>
    <w:rsid w:val="00016172"/>
    <w:rsid w:val="000306ED"/>
    <w:rsid w:val="00052A5B"/>
    <w:rsid w:val="0005585B"/>
    <w:rsid w:val="00057297"/>
    <w:rsid w:val="000657CD"/>
    <w:rsid w:val="0006719D"/>
    <w:rsid w:val="00084E77"/>
    <w:rsid w:val="00085AF6"/>
    <w:rsid w:val="00094347"/>
    <w:rsid w:val="000A6C34"/>
    <w:rsid w:val="000B62D5"/>
    <w:rsid w:val="000C2903"/>
    <w:rsid w:val="000F4397"/>
    <w:rsid w:val="00101BFC"/>
    <w:rsid w:val="0011174F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2E9F"/>
    <w:rsid w:val="001C3D07"/>
    <w:rsid w:val="001C3D60"/>
    <w:rsid w:val="001C6CC7"/>
    <w:rsid w:val="001D12B4"/>
    <w:rsid w:val="001D4D1A"/>
    <w:rsid w:val="001D785F"/>
    <w:rsid w:val="001E67B9"/>
    <w:rsid w:val="001F4D68"/>
    <w:rsid w:val="002001F1"/>
    <w:rsid w:val="00224246"/>
    <w:rsid w:val="002323D0"/>
    <w:rsid w:val="002424B8"/>
    <w:rsid w:val="0024537B"/>
    <w:rsid w:val="00250230"/>
    <w:rsid w:val="00266947"/>
    <w:rsid w:val="00275C3C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3538F"/>
    <w:rsid w:val="00451D14"/>
    <w:rsid w:val="0046005D"/>
    <w:rsid w:val="00464666"/>
    <w:rsid w:val="00477B99"/>
    <w:rsid w:val="004827EF"/>
    <w:rsid w:val="004863D9"/>
    <w:rsid w:val="00491FAB"/>
    <w:rsid w:val="004A39D1"/>
    <w:rsid w:val="004A63A7"/>
    <w:rsid w:val="004B1DEB"/>
    <w:rsid w:val="004C20F3"/>
    <w:rsid w:val="004C5D91"/>
    <w:rsid w:val="004C7122"/>
    <w:rsid w:val="004D34C6"/>
    <w:rsid w:val="004E100D"/>
    <w:rsid w:val="004F12D0"/>
    <w:rsid w:val="00537B72"/>
    <w:rsid w:val="00540C33"/>
    <w:rsid w:val="00542348"/>
    <w:rsid w:val="00542BCB"/>
    <w:rsid w:val="00546728"/>
    <w:rsid w:val="00557352"/>
    <w:rsid w:val="00565A5D"/>
    <w:rsid w:val="00581205"/>
    <w:rsid w:val="0059155E"/>
    <w:rsid w:val="005A159E"/>
    <w:rsid w:val="005C1B02"/>
    <w:rsid w:val="005D69A5"/>
    <w:rsid w:val="005F0EF1"/>
    <w:rsid w:val="005F3777"/>
    <w:rsid w:val="0061688D"/>
    <w:rsid w:val="00624F8D"/>
    <w:rsid w:val="0062609B"/>
    <w:rsid w:val="006268DE"/>
    <w:rsid w:val="00627F56"/>
    <w:rsid w:val="00630133"/>
    <w:rsid w:val="00652783"/>
    <w:rsid w:val="00656D85"/>
    <w:rsid w:val="00680755"/>
    <w:rsid w:val="00683C30"/>
    <w:rsid w:val="006910D9"/>
    <w:rsid w:val="006A025D"/>
    <w:rsid w:val="006A048C"/>
    <w:rsid w:val="006A60AB"/>
    <w:rsid w:val="006A77D6"/>
    <w:rsid w:val="006B6183"/>
    <w:rsid w:val="006B7171"/>
    <w:rsid w:val="006C57AC"/>
    <w:rsid w:val="006D1726"/>
    <w:rsid w:val="006D340F"/>
    <w:rsid w:val="006D5B5A"/>
    <w:rsid w:val="006E4653"/>
    <w:rsid w:val="006E6003"/>
    <w:rsid w:val="006F389D"/>
    <w:rsid w:val="00702E3E"/>
    <w:rsid w:val="00704CBC"/>
    <w:rsid w:val="00711773"/>
    <w:rsid w:val="0072114F"/>
    <w:rsid w:val="00733CA0"/>
    <w:rsid w:val="007534C7"/>
    <w:rsid w:val="007953F2"/>
    <w:rsid w:val="007A0068"/>
    <w:rsid w:val="007A66C7"/>
    <w:rsid w:val="007A7DA1"/>
    <w:rsid w:val="007A7F1B"/>
    <w:rsid w:val="007F7E24"/>
    <w:rsid w:val="00803D91"/>
    <w:rsid w:val="008042AE"/>
    <w:rsid w:val="008239CC"/>
    <w:rsid w:val="008347A2"/>
    <w:rsid w:val="008417A3"/>
    <w:rsid w:val="008604F4"/>
    <w:rsid w:val="00861E64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D00EC"/>
    <w:rsid w:val="008D0AC2"/>
    <w:rsid w:val="008D7C79"/>
    <w:rsid w:val="00942FAB"/>
    <w:rsid w:val="00952F54"/>
    <w:rsid w:val="00955F6E"/>
    <w:rsid w:val="00962778"/>
    <w:rsid w:val="00972225"/>
    <w:rsid w:val="00972794"/>
    <w:rsid w:val="009A0698"/>
    <w:rsid w:val="009A2DE8"/>
    <w:rsid w:val="009A44F4"/>
    <w:rsid w:val="009B1322"/>
    <w:rsid w:val="009D352B"/>
    <w:rsid w:val="009F0210"/>
    <w:rsid w:val="00A0383C"/>
    <w:rsid w:val="00A226EA"/>
    <w:rsid w:val="00A237AF"/>
    <w:rsid w:val="00A23EBC"/>
    <w:rsid w:val="00A25DE2"/>
    <w:rsid w:val="00A46BD5"/>
    <w:rsid w:val="00A46FA1"/>
    <w:rsid w:val="00A53E78"/>
    <w:rsid w:val="00A61F5B"/>
    <w:rsid w:val="00A722E7"/>
    <w:rsid w:val="00A816A2"/>
    <w:rsid w:val="00A8559C"/>
    <w:rsid w:val="00AA1AF3"/>
    <w:rsid w:val="00AA7B72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0F34"/>
    <w:rsid w:val="00BC1C85"/>
    <w:rsid w:val="00BE7EAD"/>
    <w:rsid w:val="00C00779"/>
    <w:rsid w:val="00C25899"/>
    <w:rsid w:val="00C2610A"/>
    <w:rsid w:val="00C31C2C"/>
    <w:rsid w:val="00C44D13"/>
    <w:rsid w:val="00C46E36"/>
    <w:rsid w:val="00C63075"/>
    <w:rsid w:val="00C63371"/>
    <w:rsid w:val="00C66038"/>
    <w:rsid w:val="00C70263"/>
    <w:rsid w:val="00C71426"/>
    <w:rsid w:val="00C874B8"/>
    <w:rsid w:val="00C90EF8"/>
    <w:rsid w:val="00C968CA"/>
    <w:rsid w:val="00CA2262"/>
    <w:rsid w:val="00CA22C2"/>
    <w:rsid w:val="00CA7774"/>
    <w:rsid w:val="00CB1A9C"/>
    <w:rsid w:val="00CB459D"/>
    <w:rsid w:val="00CC3366"/>
    <w:rsid w:val="00CC696E"/>
    <w:rsid w:val="00CD7A6F"/>
    <w:rsid w:val="00CF3D8F"/>
    <w:rsid w:val="00D11BFD"/>
    <w:rsid w:val="00D12F8B"/>
    <w:rsid w:val="00D13ACC"/>
    <w:rsid w:val="00D14A27"/>
    <w:rsid w:val="00D22E8E"/>
    <w:rsid w:val="00D2574B"/>
    <w:rsid w:val="00D2608B"/>
    <w:rsid w:val="00D37EE5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33D17"/>
    <w:rsid w:val="00E5047B"/>
    <w:rsid w:val="00E56483"/>
    <w:rsid w:val="00E60393"/>
    <w:rsid w:val="00E774E7"/>
    <w:rsid w:val="00E83270"/>
    <w:rsid w:val="00E8526B"/>
    <w:rsid w:val="00E86BBC"/>
    <w:rsid w:val="00EA5F9D"/>
    <w:rsid w:val="00EC194C"/>
    <w:rsid w:val="00EC221E"/>
    <w:rsid w:val="00EC4527"/>
    <w:rsid w:val="00ED13DD"/>
    <w:rsid w:val="00ED36DC"/>
    <w:rsid w:val="00ED47B4"/>
    <w:rsid w:val="00EE3C33"/>
    <w:rsid w:val="00EE7500"/>
    <w:rsid w:val="00F04321"/>
    <w:rsid w:val="00F12E93"/>
    <w:rsid w:val="00F2094B"/>
    <w:rsid w:val="00F23F83"/>
    <w:rsid w:val="00F27780"/>
    <w:rsid w:val="00F309E8"/>
    <w:rsid w:val="00F30B21"/>
    <w:rsid w:val="00F3295E"/>
    <w:rsid w:val="00F434CF"/>
    <w:rsid w:val="00F46459"/>
    <w:rsid w:val="00F52FAC"/>
    <w:rsid w:val="00F55D42"/>
    <w:rsid w:val="00F64FE6"/>
    <w:rsid w:val="00F6643B"/>
    <w:rsid w:val="00F676C4"/>
    <w:rsid w:val="00F8353D"/>
    <w:rsid w:val="00F93BFE"/>
    <w:rsid w:val="00FA4F16"/>
    <w:rsid w:val="00FB2477"/>
    <w:rsid w:val="00FB6A75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  <w14:docId w14:val="423EA6FC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80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03D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B67E-678E-4637-A206-BD599EB5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7668</TotalTime>
  <Pages>16</Pages>
  <Words>2969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127</cp:revision>
  <cp:lastPrinted>2016-02-25T18:51:00Z</cp:lastPrinted>
  <dcterms:created xsi:type="dcterms:W3CDTF">2016-02-25T18:09:00Z</dcterms:created>
  <dcterms:modified xsi:type="dcterms:W3CDTF">2020-11-24T06:55:00Z</dcterms:modified>
</cp:coreProperties>
</file>