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Aluno(a): </w:t>
      </w:r>
      <w:r w:rsidDel="00000000" w:rsidR="00000000" w:rsidRPr="00000000">
        <w:rPr>
          <w:rFonts w:ascii="Arial" w:cs="Arial" w:eastAsia="Arial" w:hAnsi="Arial"/>
          <w:sz w:val="22"/>
          <w:szCs w:val="22"/>
          <w:rtl w:val="0"/>
        </w:rPr>
        <w:t xml:space="preserve">Ricarlos Brasil Mendes e Silva Junior</w:t>
      </w: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Orientador(a): </w:t>
      </w:r>
      <w:r w:rsidDel="00000000" w:rsidR="00000000" w:rsidRPr="00000000">
        <w:rPr>
          <w:rFonts w:ascii="Arial" w:cs="Arial" w:eastAsia="Arial" w:hAnsi="Arial"/>
          <w:sz w:val="22"/>
          <w:szCs w:val="22"/>
          <w:rtl w:val="0"/>
        </w:rPr>
        <w:t xml:space="preserve">Diego Marques de Carvalho</w:t>
      </w:r>
    </w:p>
    <w:p w:rsidR="00000000" w:rsidDel="00000000" w:rsidP="00000000" w:rsidRDefault="00000000" w:rsidRPr="00000000" w14:paraId="00000003">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 </w:t>
      </w:r>
      <w:r w:rsidDel="00000000" w:rsidR="00000000" w:rsidRPr="00000000">
        <w:rPr>
          <w:rFonts w:ascii="Arial" w:cs="Arial" w:eastAsia="Arial" w:hAnsi="Arial"/>
          <w:sz w:val="22"/>
          <w:szCs w:val="22"/>
          <w:rtl w:val="0"/>
        </w:rPr>
        <w:t xml:space="preserve">MBA em Engenharia de Software</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Otimização da sincronização de pedidos de venda no agronegócio: Por meio de filas de mensageria</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rtl w:val="0"/>
        </w:rPr>
        <w:t xml:space="preserve">com</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rtl w:val="0"/>
        </w:rPr>
        <w:t xml:space="preserve">RabbitMQ</w:t>
      </w:r>
    </w:p>
    <w:p w:rsidR="00000000" w:rsidDel="00000000" w:rsidP="00000000" w:rsidRDefault="00000000" w:rsidRPr="00000000" w14:paraId="00000006">
      <w:pPr>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spacing w:line="360" w:lineRule="auto"/>
        <w:ind w:left="0" w:firstLine="0"/>
        <w:rPr>
          <w:rFonts w:ascii="Arial" w:cs="Arial" w:eastAsia="Arial" w:hAnsi="Arial"/>
          <w:color w:val="0000ff"/>
          <w:sz w:val="22"/>
          <w:szCs w:val="22"/>
        </w:rPr>
      </w:pPr>
      <w:r w:rsidDel="00000000" w:rsidR="00000000" w:rsidRPr="00000000">
        <w:rPr>
          <w:rFonts w:ascii="Arial" w:cs="Arial" w:eastAsia="Arial" w:hAnsi="Arial"/>
          <w:b w:val="1"/>
          <w:sz w:val="22"/>
          <w:szCs w:val="22"/>
          <w:rtl w:val="0"/>
        </w:rPr>
        <w:t xml:space="preserve">Introdução</w:t>
      </w:r>
      <w:r w:rsidDel="00000000" w:rsidR="00000000" w:rsidRPr="00000000">
        <w:rPr>
          <w:rtl w:val="0"/>
        </w:rPr>
      </w:r>
    </w:p>
    <w:p w:rsidR="00000000" w:rsidDel="00000000" w:rsidP="00000000" w:rsidRDefault="00000000" w:rsidRPr="00000000" w14:paraId="00000008">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agronegócio constitui um setor econômico altamente dinâmico, no qual o tempo desempenha um papel fundamental. Na agricultura, existem momentos específicos para plantar, colher e comercializar. Parafraseando a definição de agronegócio apresentada no artigo publicado pelo CEPEA/ESALQ (2022), no documento </w:t>
      </w:r>
      <w:r w:rsidDel="00000000" w:rsidR="00000000" w:rsidRPr="00000000">
        <w:rPr>
          <w:rFonts w:ascii="Arial" w:cs="Arial" w:eastAsia="Arial" w:hAnsi="Arial"/>
          <w:i w:val="1"/>
          <w:sz w:val="22"/>
          <w:szCs w:val="22"/>
          <w:rtl w:val="0"/>
        </w:rPr>
        <w:t xml:space="preserve">Agronegócio: Conceito e Evolução</w:t>
      </w:r>
      <w:r w:rsidDel="00000000" w:rsidR="00000000" w:rsidRPr="00000000">
        <w:rPr>
          <w:rFonts w:ascii="Arial" w:cs="Arial" w:eastAsia="Arial" w:hAnsi="Arial"/>
          <w:sz w:val="22"/>
          <w:szCs w:val="22"/>
          <w:rtl w:val="0"/>
        </w:rPr>
        <w:t xml:space="preserve">, o termo “agronegócio” resulta da convergência de dois componentes centrais: a agricultura, em toda a sua abrangência de atividades, representando a raiz produtiva; e o negócio, palavra derivada do latim </w:t>
      </w:r>
      <w:r w:rsidDel="00000000" w:rsidR="00000000" w:rsidRPr="00000000">
        <w:rPr>
          <w:rFonts w:ascii="Arial" w:cs="Arial" w:eastAsia="Arial" w:hAnsi="Arial"/>
          <w:i w:val="1"/>
          <w:sz w:val="22"/>
          <w:szCs w:val="22"/>
          <w:rtl w:val="0"/>
        </w:rPr>
        <w:t xml:space="preserve">negotium</w:t>
      </w:r>
      <w:r w:rsidDel="00000000" w:rsidR="00000000" w:rsidRPr="00000000">
        <w:rPr>
          <w:rFonts w:ascii="Arial" w:cs="Arial" w:eastAsia="Arial" w:hAnsi="Arial"/>
          <w:sz w:val="22"/>
          <w:szCs w:val="22"/>
          <w:rtl w:val="0"/>
        </w:rPr>
        <w:t xml:space="preserve">, cuja tradução pode ser descrita como “negação do ócio”, remetendo à ideia de ocupação ou trabalho com o objetivo de alcançar determinado fim, sendo o mais conhecido deles a geração de valor.</w:t>
      </w:r>
    </w:p>
    <w:p w:rsidR="00000000" w:rsidDel="00000000" w:rsidP="00000000" w:rsidRDefault="00000000" w:rsidRPr="00000000" w14:paraId="00000009">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organizações que atuam nesse setor buscam constantemente maneiras de evitar erros e minimizar perdas nas chamadas “janelas de tempo”. Nesse contexto, a tecnologia tem se mostrado uma grande aliada, contribuindo para a execução de processos operacionais mais robustos e precisos, tanto no campo quanto nos departamentos administrativos. Essa transformação tecnológica possibilita análises mais eficazes e decisões mais assertivas, favorecendo a competitividade e a prosperidade das empresas. Portanto, otimizar o tempo constitui um objetivo permanente.</w:t>
      </w:r>
    </w:p>
    <w:p w:rsidR="00000000" w:rsidDel="00000000" w:rsidP="00000000" w:rsidRDefault="00000000" w:rsidRPr="00000000" w14:paraId="0000000A">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cenário em que a pesquisa será aplicada, observa-se uma demora significativa no processo de sincronização dos pedidos de venda. Contextualizando, no modelo específico de trabalho, um Representante Técnico de Vendas (RTV) dirige-se ao cliente — produtor rural, pessoa física, pessoa jurídica ou órgão público — para realizar a criação do pedido de venda por meio de uma aplicação em dispositivo móvel. Esse procedimento, por si só, demanda tempo em razão de uma série de regras de negócio instituídas pela organização. Após a conclusão dessa etapa, o RTV aciona uma funcionalidade da aplicação responsável pelo envio dos dados do pedido, que posteriormente são analisados e aprovados pelos departamentos competentes, antes de serem efetivamente recebidos e faturados.</w:t>
      </w:r>
    </w:p>
    <w:p w:rsidR="00000000" w:rsidDel="00000000" w:rsidP="00000000" w:rsidRDefault="00000000" w:rsidRPr="00000000" w14:paraId="0000000B">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processo que compreende o envio dos dados até a análise e aprovação pelos departamentos responsáveis apresenta um tempo médio aproximado de seis minutos, configurando-se como o principal problema a ser solucionado.</w:t>
      </w:r>
    </w:p>
    <w:p w:rsidR="00000000" w:rsidDel="00000000" w:rsidP="00000000" w:rsidRDefault="00000000" w:rsidRPr="00000000" w14:paraId="0000000C">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 percepção empírica deste pesquisador, atuante no mercado do agronegócio com foco no desenvolvimento de tecnologias, os Representantes Técnicos de Vendas têm manifestado insatisfação devido à demora no processo de sincronização dos pedidos, reivindicando melhorias. Diante dessa necessidade, o presente trabalho tem como objetivo desenvolver um serviço de mensageria que, com base no livro </w:t>
      </w:r>
      <w:r w:rsidDel="00000000" w:rsidR="00000000" w:rsidRPr="00000000">
        <w:rPr>
          <w:rFonts w:ascii="Arial" w:cs="Arial" w:eastAsia="Arial" w:hAnsi="Arial"/>
          <w:i w:val="1"/>
          <w:sz w:val="22"/>
          <w:szCs w:val="22"/>
          <w:rtl w:val="0"/>
        </w:rPr>
        <w:t xml:space="preserve">Enterprise Integration Patterns: Designing, Building, and Deploying Messaging Solutions</w:t>
      </w:r>
      <w:r w:rsidDel="00000000" w:rsidR="00000000" w:rsidRPr="00000000">
        <w:rPr>
          <w:rFonts w:ascii="Arial" w:cs="Arial" w:eastAsia="Arial" w:hAnsi="Arial"/>
          <w:sz w:val="22"/>
          <w:szCs w:val="22"/>
          <w:rtl w:val="0"/>
        </w:rPr>
        <w:t xml:space="preserve">, de Hohpe e Woolf (2003), pode ser definido como uma tecnologia capaz de organizar e estruturar a comunicação dos dados em filas e de forma assíncrona, permitindo que sistemas ou módulos de um sistema, troquem informações sem depender de respostas imediatas, proporcionando maior velocidade, escalabilidade e segurança.</w:t>
      </w:r>
    </w:p>
    <w:p w:rsidR="00000000" w:rsidDel="00000000" w:rsidP="00000000" w:rsidRDefault="00000000" w:rsidRPr="00000000" w14:paraId="0000000D">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âmbito prático, será adotado o RabbitMQ, um </w:t>
      </w:r>
      <w:r w:rsidDel="00000000" w:rsidR="00000000" w:rsidRPr="00000000">
        <w:rPr>
          <w:rFonts w:ascii="Arial" w:cs="Arial" w:eastAsia="Arial" w:hAnsi="Arial"/>
          <w:i w:val="1"/>
          <w:sz w:val="22"/>
          <w:szCs w:val="22"/>
          <w:rtl w:val="0"/>
        </w:rPr>
        <w:t xml:space="preserve">broker</w:t>
      </w:r>
      <w:r w:rsidDel="00000000" w:rsidR="00000000" w:rsidRPr="00000000">
        <w:rPr>
          <w:rFonts w:ascii="Arial" w:cs="Arial" w:eastAsia="Arial" w:hAnsi="Arial"/>
          <w:sz w:val="22"/>
          <w:szCs w:val="22"/>
          <w:rtl w:val="0"/>
        </w:rPr>
        <w:t xml:space="preserve"> de mensagens e </w:t>
      </w:r>
      <w:r w:rsidDel="00000000" w:rsidR="00000000" w:rsidRPr="00000000">
        <w:rPr>
          <w:rFonts w:ascii="Arial" w:cs="Arial" w:eastAsia="Arial" w:hAnsi="Arial"/>
          <w:i w:val="1"/>
          <w:sz w:val="22"/>
          <w:szCs w:val="22"/>
          <w:rtl w:val="0"/>
        </w:rPr>
        <w:t xml:space="preserve">streaming</w:t>
      </w:r>
      <w:r w:rsidDel="00000000" w:rsidR="00000000" w:rsidRPr="00000000">
        <w:rPr>
          <w:rFonts w:ascii="Arial" w:cs="Arial" w:eastAsia="Arial" w:hAnsi="Arial"/>
          <w:sz w:val="22"/>
          <w:szCs w:val="22"/>
          <w:rtl w:val="0"/>
        </w:rPr>
        <w:t xml:space="preserve"> reconhecido mundialmente por sua flexibilidade e confiabilidade (RABBITMQ, 2025, tradução nossa), com o propósito de otimizar o processo de sincronização dos pedidos de venda e assegurar maior eficiência na comunicação entre os sistemas envolvidos.</w:t>
      </w:r>
    </w:p>
    <w:p w:rsidR="00000000" w:rsidDel="00000000" w:rsidP="00000000" w:rsidRDefault="00000000" w:rsidRPr="00000000" w14:paraId="0000000E">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 a implementação desse serviço, será possível reduzir o tempo de espera e proporcionar um acompanhamento mais eficiente, uma vez que o RabbitMQ dispõe de uma interface gráfica acessível em tempo real, permitindo o monitoramento das filas e de seus respectivos status.</w:t>
      </w:r>
    </w:p>
    <w:p w:rsidR="00000000" w:rsidDel="00000000" w:rsidP="00000000" w:rsidRDefault="00000000" w:rsidRPr="00000000" w14:paraId="0000000F">
      <w:pPr>
        <w:spacing w:after="240" w:before="240"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contexto do agronegócio, o cliente raramente dispõe de tempo livre em sua rotina. Dessa forma, a demora no processo descrito pode inviabilizar potenciais negócios. Há, inclusive, registros de casos em que vendas foram perdidas em decorrência desse tempo de espera, impactando diretamente os lucros da organização.</w:t>
      </w:r>
    </w:p>
    <w:p w:rsidR="00000000" w:rsidDel="00000000" w:rsidP="00000000" w:rsidRDefault="00000000" w:rsidRPr="00000000" w14:paraId="00000010">
      <w:pPr>
        <w:keepNext w:val="0"/>
        <w:spacing w:after="240" w:before="240" w:line="360" w:lineRule="auto"/>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1">
      <w:pPr>
        <w:keepNext w:val="0"/>
        <w:spacing w:after="240" w:before="240" w:line="360" w:lineRule="auto"/>
        <w:ind w:left="0" w:firstLine="0"/>
        <w:jc w:val="both"/>
        <w:rPr>
          <w:rFonts w:ascii="Arial" w:cs="Arial" w:eastAsia="Arial" w:hAnsi="Arial"/>
          <w:color w:val="0000ff"/>
          <w:sz w:val="22"/>
          <w:szCs w:val="22"/>
        </w:rPr>
      </w:pPr>
      <w:r w:rsidDel="00000000" w:rsidR="00000000" w:rsidRPr="00000000">
        <w:rPr>
          <w:rFonts w:ascii="Arial" w:cs="Arial" w:eastAsia="Arial" w:hAnsi="Arial"/>
          <w:b w:val="1"/>
          <w:sz w:val="22"/>
          <w:szCs w:val="22"/>
          <w:rtl w:val="0"/>
        </w:rPr>
        <w:t xml:space="preserve">Objetivo</w:t>
      </w:r>
      <w:r w:rsidDel="00000000" w:rsidR="00000000" w:rsidRPr="00000000">
        <w:rPr>
          <w:rtl w:val="0"/>
        </w:rPr>
      </w:r>
    </w:p>
    <w:p w:rsidR="00000000" w:rsidDel="00000000" w:rsidP="00000000" w:rsidRDefault="00000000" w:rsidRPr="00000000" w14:paraId="00000012">
      <w:pPr>
        <w:spacing w:after="240" w:before="240" w:line="360" w:lineRule="auto"/>
        <w:ind w:lef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Reduzir o tempo de sincronização dos pedidos de venda de insumos agrícolas por meio do desenvolvimento de um serviço de mensageria com RabbitMQ.</w:t>
      </w:r>
      <w:r w:rsidDel="00000000" w:rsidR="00000000" w:rsidRPr="00000000">
        <w:rPr>
          <w:rtl w:val="0"/>
        </w:rPr>
      </w:r>
    </w:p>
    <w:p w:rsidR="00000000" w:rsidDel="00000000" w:rsidP="00000000" w:rsidRDefault="00000000" w:rsidRPr="00000000" w14:paraId="00000013">
      <w:pPr>
        <w:pageBreakBefore w:val="0"/>
        <w:spacing w:line="360"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Metodologia</w:t>
      </w:r>
      <w:r w:rsidDel="00000000" w:rsidR="00000000" w:rsidRPr="00000000">
        <w:rPr>
          <w:rtl w:val="0"/>
        </w:rPr>
      </w:r>
    </w:p>
    <w:p w:rsidR="00000000" w:rsidDel="00000000" w:rsidP="00000000" w:rsidRDefault="00000000" w:rsidRPr="00000000" w14:paraId="00000015">
      <w:pPr>
        <w:spacing w:after="240" w:before="240" w:line="360" w:lineRule="auto"/>
        <w:ind w:firstLine="720"/>
        <w:jc w:val="both"/>
        <w:rPr>
          <w:rFonts w:ascii="Arial" w:cs="Arial" w:eastAsia="Arial" w:hAnsi="Arial"/>
          <w:sz w:val="22"/>
          <w:szCs w:val="22"/>
        </w:rPr>
      </w:pPr>
      <w:bookmarkStart w:colFirst="0" w:colLast="0" w:name="_heading=h.y2fv2cu0haah" w:id="0"/>
      <w:bookmarkEnd w:id="0"/>
      <w:r w:rsidDel="00000000" w:rsidR="00000000" w:rsidRPr="00000000">
        <w:rPr>
          <w:rFonts w:ascii="Arial" w:cs="Arial" w:eastAsia="Arial" w:hAnsi="Arial"/>
          <w:sz w:val="22"/>
          <w:szCs w:val="22"/>
          <w:rtl w:val="0"/>
        </w:rPr>
        <w:t xml:space="preserve">Trata-se de uma </w:t>
      </w:r>
      <w:r w:rsidDel="00000000" w:rsidR="00000000" w:rsidRPr="00000000">
        <w:rPr>
          <w:rFonts w:ascii="Arial" w:cs="Arial" w:eastAsia="Arial" w:hAnsi="Arial"/>
          <w:b w:val="1"/>
          <w:sz w:val="22"/>
          <w:szCs w:val="22"/>
          <w:rtl w:val="0"/>
        </w:rPr>
        <w:t xml:space="preserve">pesquisa aplicada, de natureza descritiva</w:t>
      </w:r>
      <w:r w:rsidDel="00000000" w:rsidR="00000000" w:rsidRPr="00000000">
        <w:rPr>
          <w:rFonts w:ascii="Arial" w:cs="Arial" w:eastAsia="Arial" w:hAnsi="Arial"/>
          <w:sz w:val="22"/>
          <w:szCs w:val="22"/>
          <w:rtl w:val="0"/>
        </w:rPr>
        <w:t xml:space="preserve">, conduzida por meio de um </w:t>
      </w:r>
      <w:r w:rsidDel="00000000" w:rsidR="00000000" w:rsidRPr="00000000">
        <w:rPr>
          <w:rFonts w:ascii="Arial" w:cs="Arial" w:eastAsia="Arial" w:hAnsi="Arial"/>
          <w:b w:val="1"/>
          <w:sz w:val="22"/>
          <w:szCs w:val="22"/>
          <w:rtl w:val="0"/>
        </w:rPr>
        <w:t xml:space="preserve">estudo de caso</w:t>
      </w:r>
      <w:r w:rsidDel="00000000" w:rsidR="00000000" w:rsidRPr="00000000">
        <w:rPr>
          <w:rFonts w:ascii="Arial" w:cs="Arial" w:eastAsia="Arial" w:hAnsi="Arial"/>
          <w:sz w:val="22"/>
          <w:szCs w:val="22"/>
          <w:rtl w:val="0"/>
        </w:rPr>
        <w:t xml:space="preserve"> em uma organização de grande porte do setor do agronegócio, localizada na cidade de Goiânia, estado de Goiás.</w:t>
      </w:r>
    </w:p>
    <w:p w:rsidR="00000000" w:rsidDel="00000000" w:rsidP="00000000" w:rsidRDefault="00000000" w:rsidRPr="00000000" w14:paraId="00000016">
      <w:pPr>
        <w:spacing w:after="240" w:before="240" w:line="360" w:lineRule="auto"/>
        <w:ind w:firstLine="720"/>
        <w:jc w:val="both"/>
        <w:rPr>
          <w:rFonts w:ascii="Arial" w:cs="Arial" w:eastAsia="Arial" w:hAnsi="Arial"/>
          <w:sz w:val="22"/>
          <w:szCs w:val="22"/>
        </w:rPr>
      </w:pPr>
      <w:bookmarkStart w:colFirst="0" w:colLast="0" w:name="_heading=h.y2fv2cu0haah" w:id="0"/>
      <w:bookmarkEnd w:id="0"/>
      <w:r w:rsidDel="00000000" w:rsidR="00000000" w:rsidRPr="00000000">
        <w:rPr>
          <w:rFonts w:ascii="Arial" w:cs="Arial" w:eastAsia="Arial" w:hAnsi="Arial"/>
          <w:sz w:val="22"/>
          <w:szCs w:val="22"/>
          <w:rtl w:val="0"/>
        </w:rPr>
        <w:t xml:space="preserve">Será realizada uma </w:t>
      </w:r>
      <w:r w:rsidDel="00000000" w:rsidR="00000000" w:rsidRPr="00000000">
        <w:rPr>
          <w:rFonts w:ascii="Arial" w:cs="Arial" w:eastAsia="Arial" w:hAnsi="Arial"/>
          <w:b w:val="1"/>
          <w:sz w:val="22"/>
          <w:szCs w:val="22"/>
          <w:rtl w:val="0"/>
        </w:rPr>
        <w:t xml:space="preserve">pesquisa bibliográfica</w:t>
      </w:r>
      <w:r w:rsidDel="00000000" w:rsidR="00000000" w:rsidRPr="00000000">
        <w:rPr>
          <w:rFonts w:ascii="Arial" w:cs="Arial" w:eastAsia="Arial" w:hAnsi="Arial"/>
          <w:sz w:val="22"/>
          <w:szCs w:val="22"/>
          <w:rtl w:val="0"/>
        </w:rPr>
        <w:t xml:space="preserve">, com o objetivo de analisar as principais práticas de uso de mensageria no processo de vendas, bem como verificar como essa tecnologia tem sido empregada no agronegócio.</w:t>
      </w:r>
    </w:p>
    <w:p w:rsidR="00000000" w:rsidDel="00000000" w:rsidP="00000000" w:rsidRDefault="00000000" w:rsidRPr="00000000" w14:paraId="00000017">
      <w:pPr>
        <w:spacing w:after="240" w:before="240" w:line="360" w:lineRule="auto"/>
        <w:ind w:firstLine="720"/>
        <w:jc w:val="both"/>
        <w:rPr>
          <w:rFonts w:ascii="Arial" w:cs="Arial" w:eastAsia="Arial" w:hAnsi="Arial"/>
          <w:sz w:val="22"/>
          <w:szCs w:val="22"/>
        </w:rPr>
      </w:pPr>
      <w:bookmarkStart w:colFirst="0" w:colLast="0" w:name="_heading=h.y2fv2cu0haah" w:id="0"/>
      <w:bookmarkEnd w:id="0"/>
      <w:r w:rsidDel="00000000" w:rsidR="00000000" w:rsidRPr="00000000">
        <w:rPr>
          <w:rFonts w:ascii="Arial" w:cs="Arial" w:eastAsia="Arial" w:hAnsi="Arial"/>
          <w:sz w:val="22"/>
          <w:szCs w:val="22"/>
          <w:rtl w:val="0"/>
        </w:rPr>
        <w:t xml:space="preserve">O desenvolvimento do processo será fundamentado nas </w:t>
      </w:r>
      <w:r w:rsidDel="00000000" w:rsidR="00000000" w:rsidRPr="00000000">
        <w:rPr>
          <w:rFonts w:ascii="Arial" w:cs="Arial" w:eastAsia="Arial" w:hAnsi="Arial"/>
          <w:b w:val="1"/>
          <w:sz w:val="22"/>
          <w:szCs w:val="22"/>
          <w:rtl w:val="0"/>
        </w:rPr>
        <w:t xml:space="preserve">boas práticas da engenharia de software</w:t>
      </w:r>
      <w:r w:rsidDel="00000000" w:rsidR="00000000" w:rsidRPr="00000000">
        <w:rPr>
          <w:rFonts w:ascii="Arial" w:cs="Arial" w:eastAsia="Arial" w:hAnsi="Arial"/>
          <w:sz w:val="22"/>
          <w:szCs w:val="22"/>
          <w:rtl w:val="0"/>
        </w:rPr>
        <w:t xml:space="preserve">, contemplando a </w:t>
      </w:r>
      <w:r w:rsidDel="00000000" w:rsidR="00000000" w:rsidRPr="00000000">
        <w:rPr>
          <w:rFonts w:ascii="Arial" w:cs="Arial" w:eastAsia="Arial" w:hAnsi="Arial"/>
          <w:b w:val="1"/>
          <w:sz w:val="22"/>
          <w:szCs w:val="22"/>
          <w:rtl w:val="0"/>
        </w:rPr>
        <w:t xml:space="preserve">análise e o levantamento de requisitos</w:t>
      </w:r>
      <w:r w:rsidDel="00000000" w:rsidR="00000000" w:rsidRPr="00000000">
        <w:rPr>
          <w:rFonts w:ascii="Arial" w:cs="Arial" w:eastAsia="Arial" w:hAnsi="Arial"/>
          <w:sz w:val="22"/>
          <w:szCs w:val="22"/>
          <w:rtl w:val="0"/>
        </w:rPr>
        <w:t xml:space="preserve">, a fim de determinar o que é relevante e o que se espera da aplicação (FOWLER, 2005). Adicionalmente, serão elaborados </w:t>
      </w:r>
      <w:r w:rsidDel="00000000" w:rsidR="00000000" w:rsidRPr="00000000">
        <w:rPr>
          <w:rFonts w:ascii="Arial" w:cs="Arial" w:eastAsia="Arial" w:hAnsi="Arial"/>
          <w:b w:val="1"/>
          <w:sz w:val="22"/>
          <w:szCs w:val="22"/>
          <w:rtl w:val="0"/>
        </w:rPr>
        <w:t xml:space="preserve">diagramas de caso de uso</w:t>
      </w:r>
      <w:r w:rsidDel="00000000" w:rsidR="00000000" w:rsidRPr="00000000">
        <w:rPr>
          <w:rFonts w:ascii="Arial" w:cs="Arial" w:eastAsia="Arial" w:hAnsi="Arial"/>
          <w:sz w:val="22"/>
          <w:szCs w:val="22"/>
          <w:rtl w:val="0"/>
        </w:rPr>
        <w:t xml:space="preserve">, com o intuito de compreender a interação dos usuários com a aplicação (FOWLER, 2005), </w:t>
      </w:r>
      <w:r w:rsidDel="00000000" w:rsidR="00000000" w:rsidRPr="00000000">
        <w:rPr>
          <w:rFonts w:ascii="Arial" w:cs="Arial" w:eastAsia="Arial" w:hAnsi="Arial"/>
          <w:b w:val="1"/>
          <w:sz w:val="22"/>
          <w:szCs w:val="22"/>
          <w:rtl w:val="0"/>
        </w:rPr>
        <w:t xml:space="preserve">diagramas de classes</w:t>
      </w:r>
      <w:r w:rsidDel="00000000" w:rsidR="00000000" w:rsidRPr="00000000">
        <w:rPr>
          <w:rFonts w:ascii="Arial" w:cs="Arial" w:eastAsia="Arial" w:hAnsi="Arial"/>
          <w:sz w:val="22"/>
          <w:szCs w:val="22"/>
          <w:rtl w:val="0"/>
        </w:rPr>
        <w:t xml:space="preserve">, para especificar os objetos e seus relacionamentos dentro do modelo arquitetural (FOWLER, 2005), e a </w:t>
      </w:r>
      <w:r w:rsidDel="00000000" w:rsidR="00000000" w:rsidRPr="00000000">
        <w:rPr>
          <w:rFonts w:ascii="Arial" w:cs="Arial" w:eastAsia="Arial" w:hAnsi="Arial"/>
          <w:b w:val="1"/>
          <w:sz w:val="22"/>
          <w:szCs w:val="22"/>
          <w:rtl w:val="0"/>
        </w:rPr>
        <w:t xml:space="preserve">representação do banco de dados no modelo conceitual entidade-relacionamento (ER)</w:t>
      </w:r>
      <w:r w:rsidDel="00000000" w:rsidR="00000000" w:rsidRPr="00000000">
        <w:rPr>
          <w:rFonts w:ascii="Arial" w:cs="Arial" w:eastAsia="Arial" w:hAnsi="Arial"/>
          <w:sz w:val="22"/>
          <w:szCs w:val="22"/>
          <w:rtl w:val="0"/>
        </w:rPr>
        <w:t xml:space="preserve">, utilizando a notação de diagrama entidade-relacionamento (ELMASRI; NAVATHE, 2011). Esses constituem os principais artefatos previstos para o desenvolvimento do projeto. Caso surja alguma necessidade específica, novos artefatos poderão ser incorporados ao processo. </w:t>
      </w:r>
    </w:p>
    <w:p w:rsidR="00000000" w:rsidDel="00000000" w:rsidP="00000000" w:rsidRDefault="00000000" w:rsidRPr="00000000" w14:paraId="00000018">
      <w:pPr>
        <w:spacing w:after="240" w:before="240" w:line="360" w:lineRule="auto"/>
        <w:ind w:firstLine="720"/>
        <w:jc w:val="both"/>
        <w:rPr>
          <w:rFonts w:ascii="Arial" w:cs="Arial" w:eastAsia="Arial" w:hAnsi="Arial"/>
          <w:sz w:val="22"/>
          <w:szCs w:val="22"/>
        </w:rPr>
      </w:pPr>
      <w:bookmarkStart w:colFirst="0" w:colLast="0" w:name="_heading=h.3p4xofb5uf4" w:id="1"/>
      <w:bookmarkEnd w:id="1"/>
      <w:r w:rsidDel="00000000" w:rsidR="00000000" w:rsidRPr="00000000">
        <w:rPr>
          <w:rFonts w:ascii="Arial" w:cs="Arial" w:eastAsia="Arial" w:hAnsi="Arial"/>
          <w:sz w:val="22"/>
          <w:szCs w:val="22"/>
          <w:rtl w:val="0"/>
        </w:rPr>
        <w:t xml:space="preserve">A ferramenta escolhida para o </w:t>
      </w:r>
      <w:r w:rsidDel="00000000" w:rsidR="00000000" w:rsidRPr="00000000">
        <w:rPr>
          <w:rFonts w:ascii="Arial" w:cs="Arial" w:eastAsia="Arial" w:hAnsi="Arial"/>
          <w:b w:val="1"/>
          <w:sz w:val="22"/>
          <w:szCs w:val="22"/>
          <w:rtl w:val="0"/>
        </w:rPr>
        <w:t xml:space="preserve">gerenciamento de filas</w:t>
      </w:r>
      <w:r w:rsidDel="00000000" w:rsidR="00000000" w:rsidRPr="00000000">
        <w:rPr>
          <w:rFonts w:ascii="Arial" w:cs="Arial" w:eastAsia="Arial" w:hAnsi="Arial"/>
          <w:sz w:val="22"/>
          <w:szCs w:val="22"/>
          <w:rtl w:val="0"/>
        </w:rPr>
        <w:t xml:space="preserve"> será o </w:t>
      </w:r>
      <w:r w:rsidDel="00000000" w:rsidR="00000000" w:rsidRPr="00000000">
        <w:rPr>
          <w:rFonts w:ascii="Arial" w:cs="Arial" w:eastAsia="Arial" w:hAnsi="Arial"/>
          <w:b w:val="1"/>
          <w:sz w:val="22"/>
          <w:szCs w:val="22"/>
          <w:rtl w:val="0"/>
        </w:rPr>
        <w:t xml:space="preserve">RabbitMQ</w:t>
      </w:r>
      <w:r w:rsidDel="00000000" w:rsidR="00000000" w:rsidRPr="00000000">
        <w:rPr>
          <w:rFonts w:ascii="Arial" w:cs="Arial" w:eastAsia="Arial" w:hAnsi="Arial"/>
          <w:sz w:val="22"/>
          <w:szCs w:val="22"/>
          <w:rtl w:val="0"/>
        </w:rPr>
        <w:t xml:space="preserve">, em razão de sua consolidação no mercado, da baixa curva de aprendizagem para equipes com diferentes níveis de senioridade, da flexibilidade e, principalmente, da confiabilidade e compatibilidade com a arquitetura atualmente utilizada na organização.</w:t>
      </w:r>
    </w:p>
    <w:p w:rsidR="00000000" w:rsidDel="00000000" w:rsidP="00000000" w:rsidRDefault="00000000" w:rsidRPr="00000000" w14:paraId="00000019">
      <w:pPr>
        <w:spacing w:after="240" w:before="240" w:line="360" w:lineRule="auto"/>
        <w:ind w:firstLine="720"/>
        <w:jc w:val="both"/>
        <w:rPr>
          <w:rFonts w:ascii="Arial" w:cs="Arial" w:eastAsia="Arial" w:hAnsi="Arial"/>
          <w:sz w:val="22"/>
          <w:szCs w:val="22"/>
        </w:rPr>
      </w:pPr>
      <w:bookmarkStart w:colFirst="0" w:colLast="0" w:name="_heading=h.y2fv2cu0haah" w:id="0"/>
      <w:bookmarkEnd w:id="0"/>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sz w:val="22"/>
          <w:szCs w:val="22"/>
          <w:rtl w:val="0"/>
        </w:rPr>
        <w:t xml:space="preserve">coleta de dados</w:t>
      </w:r>
      <w:r w:rsidDel="00000000" w:rsidR="00000000" w:rsidRPr="00000000">
        <w:rPr>
          <w:rFonts w:ascii="Arial" w:cs="Arial" w:eastAsia="Arial" w:hAnsi="Arial"/>
          <w:sz w:val="22"/>
          <w:szCs w:val="22"/>
          <w:rtl w:val="0"/>
        </w:rPr>
        <w:t xml:space="preserve"> será realizada por meio de </w:t>
      </w:r>
      <w:r w:rsidDel="00000000" w:rsidR="00000000" w:rsidRPr="00000000">
        <w:rPr>
          <w:rFonts w:ascii="Arial" w:cs="Arial" w:eastAsia="Arial" w:hAnsi="Arial"/>
          <w:b w:val="1"/>
          <w:sz w:val="22"/>
          <w:szCs w:val="22"/>
          <w:rtl w:val="0"/>
        </w:rPr>
        <w:t xml:space="preserve">entrevistas</w:t>
      </w:r>
      <w:r w:rsidDel="00000000" w:rsidR="00000000" w:rsidRPr="00000000">
        <w:rPr>
          <w:rFonts w:ascii="Arial" w:cs="Arial" w:eastAsia="Arial" w:hAnsi="Arial"/>
          <w:sz w:val="22"/>
          <w:szCs w:val="22"/>
          <w:rtl w:val="0"/>
        </w:rPr>
        <w:t xml:space="preserve"> com os membros da equipe de desenvolvimento responsáveis pela criação e manutenção do software, bem como com os usuários diretos (representantes técnicos de vendas), utilizando </w:t>
      </w:r>
      <w:r w:rsidDel="00000000" w:rsidR="00000000" w:rsidRPr="00000000">
        <w:rPr>
          <w:rFonts w:ascii="Arial" w:cs="Arial" w:eastAsia="Arial" w:hAnsi="Arial"/>
          <w:b w:val="1"/>
          <w:sz w:val="22"/>
          <w:szCs w:val="22"/>
          <w:rtl w:val="0"/>
        </w:rPr>
        <w:t xml:space="preserve">perguntas fechadas e escala Likert</w:t>
      </w:r>
      <w:r w:rsidDel="00000000" w:rsidR="00000000" w:rsidRPr="00000000">
        <w:rPr>
          <w:rFonts w:ascii="Arial" w:cs="Arial" w:eastAsia="Arial" w:hAnsi="Arial"/>
          <w:sz w:val="22"/>
          <w:szCs w:val="22"/>
          <w:rtl w:val="0"/>
        </w:rPr>
        <w:t xml:space="preserve">, além da </w:t>
      </w:r>
      <w:r w:rsidDel="00000000" w:rsidR="00000000" w:rsidRPr="00000000">
        <w:rPr>
          <w:rFonts w:ascii="Arial" w:cs="Arial" w:eastAsia="Arial" w:hAnsi="Arial"/>
          <w:b w:val="1"/>
          <w:sz w:val="22"/>
          <w:szCs w:val="22"/>
          <w:rtl w:val="0"/>
        </w:rPr>
        <w:t xml:space="preserve">análise de documentos internos</w:t>
      </w:r>
      <w:r w:rsidDel="00000000" w:rsidR="00000000" w:rsidRPr="00000000">
        <w:rPr>
          <w:rFonts w:ascii="Arial" w:cs="Arial" w:eastAsia="Arial" w:hAnsi="Arial"/>
          <w:sz w:val="22"/>
          <w:szCs w:val="22"/>
          <w:rtl w:val="0"/>
        </w:rPr>
        <w:t xml:space="preserve"> da organização.</w:t>
      </w:r>
    </w:p>
    <w:p w:rsidR="00000000" w:rsidDel="00000000" w:rsidP="00000000" w:rsidRDefault="00000000" w:rsidRPr="00000000" w14:paraId="0000001A">
      <w:pPr>
        <w:spacing w:after="240" w:before="240" w:line="360" w:lineRule="auto"/>
        <w:ind w:firstLine="720"/>
        <w:jc w:val="both"/>
        <w:rPr>
          <w:rFonts w:ascii="Arial" w:cs="Arial" w:eastAsia="Arial" w:hAnsi="Arial"/>
          <w:sz w:val="22"/>
          <w:szCs w:val="22"/>
        </w:rPr>
      </w:pPr>
      <w:bookmarkStart w:colFirst="0" w:colLast="0" w:name="_heading=h.y2fv2cu0haah" w:id="0"/>
      <w:bookmarkEnd w:id="0"/>
      <w:r w:rsidDel="00000000" w:rsidR="00000000" w:rsidRPr="00000000">
        <w:rPr>
          <w:rFonts w:ascii="Arial" w:cs="Arial" w:eastAsia="Arial" w:hAnsi="Arial"/>
          <w:sz w:val="22"/>
          <w:szCs w:val="22"/>
          <w:rtl w:val="0"/>
        </w:rPr>
        <w:t xml:space="preserve">Os </w:t>
      </w:r>
      <w:r w:rsidDel="00000000" w:rsidR="00000000" w:rsidRPr="00000000">
        <w:rPr>
          <w:rFonts w:ascii="Arial" w:cs="Arial" w:eastAsia="Arial" w:hAnsi="Arial"/>
          <w:b w:val="1"/>
          <w:sz w:val="22"/>
          <w:szCs w:val="22"/>
          <w:rtl w:val="0"/>
        </w:rPr>
        <w:t xml:space="preserve">resultados</w:t>
      </w:r>
      <w:r w:rsidDel="00000000" w:rsidR="00000000" w:rsidRPr="00000000">
        <w:rPr>
          <w:rFonts w:ascii="Arial" w:cs="Arial" w:eastAsia="Arial" w:hAnsi="Arial"/>
          <w:sz w:val="22"/>
          <w:szCs w:val="22"/>
          <w:rtl w:val="0"/>
        </w:rPr>
        <w:t xml:space="preserve"> serão analisados por </w:t>
      </w:r>
      <w:r w:rsidDel="00000000" w:rsidR="00000000" w:rsidRPr="00000000">
        <w:rPr>
          <w:rFonts w:ascii="Arial" w:cs="Arial" w:eastAsia="Arial" w:hAnsi="Arial"/>
          <w:b w:val="1"/>
          <w:sz w:val="22"/>
          <w:szCs w:val="22"/>
          <w:rtl w:val="0"/>
        </w:rPr>
        <w:t xml:space="preserve">métricas quantitativas referentes ao fluxo de dados</w:t>
      </w:r>
      <w:r w:rsidDel="00000000" w:rsidR="00000000" w:rsidRPr="00000000">
        <w:rPr>
          <w:rFonts w:ascii="Arial" w:cs="Arial" w:eastAsia="Arial" w:hAnsi="Arial"/>
          <w:sz w:val="22"/>
          <w:szCs w:val="22"/>
          <w:rtl w:val="0"/>
        </w:rPr>
        <w:t xml:space="preserve">, incluindo </w:t>
      </w:r>
      <w:r w:rsidDel="00000000" w:rsidR="00000000" w:rsidRPr="00000000">
        <w:rPr>
          <w:rFonts w:ascii="Arial" w:cs="Arial" w:eastAsia="Arial" w:hAnsi="Arial"/>
          <w:b w:val="1"/>
          <w:sz w:val="22"/>
          <w:szCs w:val="22"/>
          <w:rtl w:val="0"/>
        </w:rPr>
        <w:t xml:space="preserve">tempo de latência</w:t>
      </w:r>
      <w:r w:rsidDel="00000000" w:rsidR="00000000" w:rsidRPr="00000000">
        <w:rPr>
          <w:rFonts w:ascii="Arial" w:cs="Arial" w:eastAsia="Arial" w:hAnsi="Arial"/>
          <w:sz w:val="22"/>
          <w:szCs w:val="22"/>
          <w:rtl w:val="0"/>
        </w:rPr>
        <w:t xml:space="preserve"> — o intervalo entre o envio da informação pela aplicação e seu processamento —, </w:t>
      </w:r>
      <w:r w:rsidDel="00000000" w:rsidR="00000000" w:rsidRPr="00000000">
        <w:rPr>
          <w:rFonts w:ascii="Arial" w:cs="Arial" w:eastAsia="Arial" w:hAnsi="Arial"/>
          <w:b w:val="1"/>
          <w:sz w:val="22"/>
          <w:szCs w:val="22"/>
          <w:rtl w:val="0"/>
        </w:rPr>
        <w:t xml:space="preserve">tempo de fila</w:t>
      </w:r>
      <w:r w:rsidDel="00000000" w:rsidR="00000000" w:rsidRPr="00000000">
        <w:rPr>
          <w:rFonts w:ascii="Arial" w:cs="Arial" w:eastAsia="Arial" w:hAnsi="Arial"/>
          <w:sz w:val="22"/>
          <w:szCs w:val="22"/>
          <w:rtl w:val="0"/>
        </w:rPr>
        <w:t xml:space="preserve">, monitorado pelo painel gráfico do próprio RabbitMQ, e </w:t>
      </w:r>
      <w:r w:rsidDel="00000000" w:rsidR="00000000" w:rsidRPr="00000000">
        <w:rPr>
          <w:rFonts w:ascii="Arial" w:cs="Arial" w:eastAsia="Arial" w:hAnsi="Arial"/>
          <w:b w:val="1"/>
          <w:sz w:val="22"/>
          <w:szCs w:val="22"/>
          <w:rtl w:val="0"/>
        </w:rPr>
        <w:t xml:space="preserve">taxa de vazão</w:t>
      </w:r>
      <w:r w:rsidDel="00000000" w:rsidR="00000000" w:rsidRPr="00000000">
        <w:rPr>
          <w:rFonts w:ascii="Arial" w:cs="Arial" w:eastAsia="Arial" w:hAnsi="Arial"/>
          <w:sz w:val="22"/>
          <w:szCs w:val="22"/>
          <w:rtl w:val="0"/>
        </w:rPr>
        <w:t xml:space="preserve">, correspondente à quantidade de dados processados por unidade de tempo.</w:t>
      </w:r>
    </w:p>
    <w:p w:rsidR="00000000" w:rsidDel="00000000" w:rsidP="00000000" w:rsidRDefault="00000000" w:rsidRPr="00000000" w14:paraId="0000001B">
      <w:pPr>
        <w:spacing w:after="240" w:before="240" w:line="360" w:lineRule="auto"/>
        <w:ind w:left="0" w:firstLine="0"/>
        <w:jc w:val="both"/>
        <w:rPr>
          <w:rFonts w:ascii="Arial" w:cs="Arial" w:eastAsia="Arial" w:hAnsi="Arial"/>
          <w:b w:val="1"/>
          <w:sz w:val="22"/>
          <w:szCs w:val="22"/>
        </w:rPr>
      </w:pPr>
      <w:bookmarkStart w:colFirst="0" w:colLast="0" w:name="_heading=h.q2kc24r1q105"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360" w:lineRule="auto"/>
        <w:ind w:left="0" w:firstLine="0"/>
        <w:jc w:val="both"/>
        <w:rPr>
          <w:rFonts w:ascii="Arial" w:cs="Arial" w:eastAsia="Arial" w:hAnsi="Arial"/>
          <w:b w:val="1"/>
          <w:sz w:val="22"/>
          <w:szCs w:val="22"/>
        </w:rPr>
      </w:pPr>
      <w:bookmarkStart w:colFirst="0" w:colLast="0" w:name="_heading=h.xc0li1n8478o" w:id="3"/>
      <w:bookmarkEnd w:id="3"/>
      <w:r w:rsidDel="00000000" w:rsidR="00000000" w:rsidRPr="00000000">
        <w:rPr>
          <w:rFonts w:ascii="Arial" w:cs="Arial" w:eastAsia="Arial" w:hAnsi="Arial"/>
          <w:b w:val="1"/>
          <w:sz w:val="22"/>
          <w:szCs w:val="22"/>
          <w:rtl w:val="0"/>
        </w:rPr>
        <w:t xml:space="preserve">Resultados Esperados</w:t>
      </w:r>
    </w:p>
    <w:p w:rsidR="00000000" w:rsidDel="00000000" w:rsidP="00000000" w:rsidRDefault="00000000" w:rsidRPr="00000000" w14:paraId="0000001D">
      <w:pPr>
        <w:spacing w:line="360" w:lineRule="auto"/>
        <w:ind w:firstLine="709"/>
        <w:jc w:val="both"/>
        <w:rPr>
          <w:rFonts w:ascii="Arial" w:cs="Arial" w:eastAsia="Arial" w:hAnsi="Arial"/>
          <w:sz w:val="22"/>
          <w:szCs w:val="22"/>
        </w:rPr>
      </w:pPr>
      <w:bookmarkStart w:colFirst="0" w:colLast="0" w:name="_heading=h.pxp4lqo9y3kr" w:id="4"/>
      <w:bookmarkEnd w:id="4"/>
      <w:r w:rsidDel="00000000" w:rsidR="00000000" w:rsidRPr="00000000">
        <w:rPr>
          <w:rFonts w:ascii="Arial" w:cs="Arial" w:eastAsia="Arial" w:hAnsi="Arial"/>
          <w:sz w:val="22"/>
          <w:szCs w:val="22"/>
          <w:rtl w:val="0"/>
        </w:rPr>
        <w:t xml:space="preserve">Redução significativa no tempo de sincronização dos pedidos de venda, aumento da satisfação dos usuários finais (RTV) e dos clientes no processo de utilização da aplicação, bem como eliminação ou redução substancial dos relatos de perda de vendas decorrentes de problemas de performance na sincronização dos dados, ao implementar e colocar em produção o novo modelo baseado no gerenciamento por meio de filas de mensageria.</w:t>
      </w:r>
    </w:p>
    <w:p w:rsidR="00000000" w:rsidDel="00000000" w:rsidP="00000000" w:rsidRDefault="00000000" w:rsidRPr="00000000" w14:paraId="0000001E">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Cronograma de Atividades</w:t>
      </w:r>
    </w:p>
    <w:p w:rsidR="00000000" w:rsidDel="00000000" w:rsidP="00000000" w:rsidRDefault="00000000" w:rsidRPr="00000000" w14:paraId="00000020">
      <w:pPr>
        <w:spacing w:line="360" w:lineRule="auto"/>
        <w:jc w:val="both"/>
        <w:rPr>
          <w:rFonts w:ascii="Arial" w:cs="Arial" w:eastAsia="Arial" w:hAnsi="Arial"/>
          <w:sz w:val="22"/>
          <w:szCs w:val="22"/>
        </w:rPr>
      </w:pPr>
      <w:r w:rsidDel="00000000" w:rsidR="00000000" w:rsidRPr="00000000">
        <w:rPr>
          <w:rtl w:val="0"/>
        </w:rPr>
      </w:r>
    </w:p>
    <w:tbl>
      <w:tblPr>
        <w:tblStyle w:val="Table1"/>
        <w:tblW w:w="8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510"/>
        <w:gridCol w:w="525"/>
        <w:gridCol w:w="525"/>
        <w:gridCol w:w="585"/>
        <w:gridCol w:w="510"/>
        <w:gridCol w:w="630"/>
        <w:gridCol w:w="600"/>
        <w:gridCol w:w="540"/>
        <w:tblGridChange w:id="0">
          <w:tblGrid>
            <w:gridCol w:w="3630"/>
            <w:gridCol w:w="510"/>
            <w:gridCol w:w="525"/>
            <w:gridCol w:w="525"/>
            <w:gridCol w:w="585"/>
            <w:gridCol w:w="510"/>
            <w:gridCol w:w="630"/>
            <w:gridCol w:w="600"/>
            <w:gridCol w:w="540"/>
          </w:tblGrid>
        </w:tblGridChange>
      </w:tblGrid>
      <w:tr>
        <w:trPr>
          <w:cantSplit w:val="0"/>
          <w:trHeight w:val="255" w:hRule="atLeast"/>
          <w:tblHeader w:val="1"/>
        </w:trPr>
        <w:tc>
          <w:tcPr>
            <w:vMerge w:val="restart"/>
            <w:vAlign w:val="center"/>
          </w:tcPr>
          <w:p w:rsidR="00000000" w:rsidDel="00000000" w:rsidP="00000000" w:rsidRDefault="00000000" w:rsidRPr="00000000" w14:paraId="0000002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Atividades planejadas</w:t>
            </w:r>
          </w:p>
        </w:tc>
        <w:tc>
          <w:tcPr>
            <w:gridSpan w:val="8"/>
            <w:vAlign w:val="center"/>
          </w:tcPr>
          <w:p w:rsidR="00000000" w:rsidDel="00000000" w:rsidP="00000000" w:rsidRDefault="00000000" w:rsidRPr="00000000" w14:paraId="000000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2025/2026</w:t>
            </w:r>
          </w:p>
        </w:tc>
      </w:tr>
      <w:tr>
        <w:trPr>
          <w:cantSplit w:val="0"/>
          <w:trHeight w:val="255" w:hRule="atLeast"/>
          <w:tblHeader w:val="1"/>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2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Nov</w:t>
            </w:r>
          </w:p>
        </w:tc>
        <w:tc>
          <w:tcPr>
            <w:vAlign w:val="center"/>
          </w:tcPr>
          <w:p w:rsidR="00000000" w:rsidDel="00000000" w:rsidP="00000000" w:rsidRDefault="00000000" w:rsidRPr="00000000" w14:paraId="000000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Dez</w:t>
            </w:r>
          </w:p>
        </w:tc>
        <w:tc>
          <w:tcPr>
            <w:vAlign w:val="center"/>
          </w:tcPr>
          <w:p w:rsidR="00000000" w:rsidDel="00000000" w:rsidP="00000000" w:rsidRDefault="00000000" w:rsidRPr="00000000" w14:paraId="0000002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Jan</w:t>
            </w:r>
          </w:p>
        </w:tc>
        <w:tc>
          <w:tcPr>
            <w:vAlign w:val="center"/>
          </w:tcPr>
          <w:p w:rsidR="00000000" w:rsidDel="00000000" w:rsidP="00000000" w:rsidRDefault="00000000" w:rsidRPr="00000000" w14:paraId="0000002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Fev</w:t>
            </w:r>
          </w:p>
        </w:tc>
        <w:tc>
          <w:tcPr>
            <w:vAlign w:val="center"/>
          </w:tcPr>
          <w:p w:rsidR="00000000" w:rsidDel="00000000" w:rsidP="00000000" w:rsidRDefault="00000000" w:rsidRPr="00000000" w14:paraId="0000002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w:t>
            </w:r>
          </w:p>
        </w:tc>
        <w:tc>
          <w:tcPr>
            <w:vAlign w:val="center"/>
          </w:tcPr>
          <w:p w:rsidR="00000000" w:rsidDel="00000000" w:rsidP="00000000" w:rsidRDefault="00000000" w:rsidRPr="00000000" w14:paraId="0000003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Abr</w:t>
            </w:r>
          </w:p>
        </w:tc>
        <w:tc>
          <w:tcPr>
            <w:vAlign w:val="center"/>
          </w:tcPr>
          <w:p w:rsidR="00000000" w:rsidDel="00000000" w:rsidP="00000000" w:rsidRDefault="00000000" w:rsidRPr="00000000" w14:paraId="0000003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Mai</w:t>
            </w:r>
          </w:p>
        </w:tc>
        <w:tc>
          <w:tcPr>
            <w:vAlign w:val="center"/>
          </w:tcPr>
          <w:p w:rsidR="00000000" w:rsidDel="00000000" w:rsidP="00000000" w:rsidRDefault="00000000" w:rsidRPr="00000000" w14:paraId="000000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Jun</w:t>
            </w:r>
          </w:p>
        </w:tc>
      </w:tr>
      <w:tr>
        <w:trPr>
          <w:cantSplit w:val="0"/>
          <w:trHeight w:val="255" w:hRule="atLeast"/>
          <w:tblHeader w:val="0"/>
        </w:trPr>
        <w:tc>
          <w:tcPr>
            <w:vAlign w:val="cente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do projeto de pesquisa</w:t>
            </w:r>
          </w:p>
        </w:tc>
        <w:tc>
          <w:tcPr>
            <w:vAlign w:val="center"/>
          </w:tcPr>
          <w:p w:rsidR="00000000" w:rsidDel="00000000" w:rsidP="00000000" w:rsidRDefault="00000000" w:rsidRPr="00000000" w14:paraId="000000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8">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Elaboração dos artefatos</w:t>
            </w:r>
          </w:p>
        </w:tc>
        <w:tc>
          <w:tcPr>
            <w:vAlign w:val="center"/>
          </w:tcPr>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3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Coleta dos dados</w:t>
            </w:r>
          </w:p>
        </w:tc>
        <w:tc>
          <w:tcPr>
            <w:vAlign w:val="center"/>
          </w:tcPr>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tl w:val="0"/>
              </w:rPr>
            </w:r>
          </w:p>
        </w:tc>
      </w:tr>
      <w:tr>
        <w:trPr>
          <w:cantSplit w:val="0"/>
          <w:trHeight w:val="240" w:hRule="atLeast"/>
          <w:tblHeader w:val="0"/>
        </w:trPr>
        <w:tc>
          <w:tcPr>
            <w:vAlign w:val="center"/>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Análise dos dados obtidos</w:t>
            </w:r>
          </w:p>
        </w:tc>
        <w:tc>
          <w:tcPr>
            <w:vAlign w:val="center"/>
          </w:tcPr>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Estruturação dos resultados preliminares</w:t>
            </w:r>
          </w:p>
        </w:tc>
        <w:tc>
          <w:tcPr>
            <w:vAlign w:val="center"/>
          </w:tcPr>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Entrega dos resultados preliminares</w:t>
            </w:r>
          </w:p>
        </w:tc>
        <w:tc>
          <w:tcPr>
            <w:vAlign w:val="center"/>
          </w:tcPr>
          <w:p w:rsidR="00000000" w:rsidDel="00000000" w:rsidP="00000000" w:rsidRDefault="00000000" w:rsidRPr="00000000" w14:paraId="00000061">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2">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3">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8">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Redigir o TCC </w:t>
            </w:r>
          </w:p>
        </w:tc>
        <w:tc>
          <w:tcPr>
            <w:vAlign w:val="center"/>
          </w:tcPr>
          <w:p w:rsidR="00000000" w:rsidDel="00000000" w:rsidP="00000000" w:rsidRDefault="00000000" w:rsidRPr="00000000" w14:paraId="0000006A">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B">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6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7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1">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Agendamento da defesa</w:t>
            </w:r>
          </w:p>
        </w:tc>
        <w:tc>
          <w:tcPr>
            <w:vAlign w:val="center"/>
          </w:tcPr>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Estruturação dos slides da defesa</w:t>
            </w:r>
          </w:p>
        </w:tc>
        <w:tc>
          <w:tcPr>
            <w:vAlign w:val="center"/>
          </w:tcPr>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Revisão final antes da defesa</w:t>
            </w:r>
          </w:p>
        </w:tc>
        <w:tc>
          <w:tcPr>
            <w:vAlign w:val="center"/>
          </w:tcPr>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8">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9">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2"/>
                <w:szCs w:val="22"/>
                <w:rtl w:val="0"/>
              </w:rPr>
              <w:t xml:space="preserve">Defesa do TCC</w:t>
            </w:r>
            <w:r w:rsidDel="00000000" w:rsidR="00000000" w:rsidRPr="00000000">
              <w:rPr>
                <w:rtl w:val="0"/>
              </w:rPr>
            </w:r>
          </w:p>
        </w:tc>
        <w:tc>
          <w:tcPr>
            <w:vAlign w:val="center"/>
          </w:tcPr>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096">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Referências </w:t>
      </w:r>
    </w:p>
    <w:p w:rsidR="00000000" w:rsidDel="00000000" w:rsidP="00000000" w:rsidRDefault="00000000" w:rsidRPr="00000000" w14:paraId="0000009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CEPEA – Centro de Estudos Avançados em Economia Aplicada da ESALQ/USP. 2022. </w:t>
      </w:r>
      <w:r w:rsidDel="00000000" w:rsidR="00000000" w:rsidRPr="00000000">
        <w:rPr>
          <w:rFonts w:ascii="Arial" w:cs="Arial" w:eastAsia="Arial" w:hAnsi="Arial"/>
          <w:i w:val="1"/>
          <w:sz w:val="22"/>
          <w:szCs w:val="22"/>
          <w:rtl w:val="0"/>
        </w:rPr>
        <w:t xml:space="preserve">Agronegócio: Conceito e Evolução.</w:t>
      </w:r>
      <w:r w:rsidDel="00000000" w:rsidR="00000000" w:rsidRPr="00000000">
        <w:rPr>
          <w:rFonts w:ascii="Arial" w:cs="Arial" w:eastAsia="Arial" w:hAnsi="Arial"/>
          <w:sz w:val="22"/>
          <w:szCs w:val="22"/>
          <w:rtl w:val="0"/>
        </w:rPr>
        <w:t xml:space="preserve"> CEPEA, São Paulo, SP, Brasil. Disponível em:</w:t>
      </w:r>
      <w:hyperlink r:id="rId7">
        <w:r w:rsidDel="00000000" w:rsidR="00000000" w:rsidRPr="00000000">
          <w:rPr>
            <w:rFonts w:ascii="Arial" w:cs="Arial" w:eastAsia="Arial" w:hAnsi="Arial"/>
            <w:sz w:val="22"/>
            <w:szCs w:val="22"/>
            <w:rtl w:val="0"/>
          </w:rPr>
          <w:t xml:space="preserve"> </w:t>
        </w:r>
      </w:hyperlink>
      <w:hyperlink r:id="rId8">
        <w:r w:rsidDel="00000000" w:rsidR="00000000" w:rsidRPr="00000000">
          <w:rPr>
            <w:rFonts w:ascii="Arial" w:cs="Arial" w:eastAsia="Arial" w:hAnsi="Arial"/>
            <w:color w:val="1155cc"/>
            <w:sz w:val="22"/>
            <w:szCs w:val="22"/>
            <w:u w:val="single"/>
            <w:rtl w:val="0"/>
          </w:rPr>
          <w:t xml:space="preserve">https://www.cepea.org.br/upload/kceditor/files/agro%20conceito%20e%20evolu%C3%A7%C3%A3o_jan22_.pdf</w:t>
        </w:r>
      </w:hyperlink>
      <w:r w:rsidDel="00000000" w:rsidR="00000000" w:rsidRPr="00000000">
        <w:rPr>
          <w:rFonts w:ascii="Arial" w:cs="Arial" w:eastAsia="Arial" w:hAnsi="Arial"/>
          <w:sz w:val="22"/>
          <w:szCs w:val="22"/>
          <w:rtl w:val="0"/>
        </w:rPr>
        <w:t xml:space="preserve">. Acesso em: 24 out. 2025.</w:t>
      </w:r>
    </w:p>
    <w:p w:rsidR="00000000" w:rsidDel="00000000" w:rsidP="00000000" w:rsidRDefault="00000000" w:rsidRPr="00000000" w14:paraId="0000009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Elmasri, R.; Navathe, S.B. 2011. </w:t>
      </w:r>
      <w:r w:rsidDel="00000000" w:rsidR="00000000" w:rsidRPr="00000000">
        <w:rPr>
          <w:rFonts w:ascii="Arial" w:cs="Arial" w:eastAsia="Arial" w:hAnsi="Arial"/>
          <w:i w:val="1"/>
          <w:sz w:val="22"/>
          <w:szCs w:val="22"/>
          <w:rtl w:val="0"/>
        </w:rPr>
        <w:t xml:space="preserve">Sistemas de Banco de Dados.</w:t>
      </w:r>
      <w:r w:rsidDel="00000000" w:rsidR="00000000" w:rsidRPr="00000000">
        <w:rPr>
          <w:rFonts w:ascii="Arial" w:cs="Arial" w:eastAsia="Arial" w:hAnsi="Arial"/>
          <w:sz w:val="22"/>
          <w:szCs w:val="22"/>
          <w:rtl w:val="0"/>
        </w:rPr>
        <w:t xml:space="preserve"> 6ed. Pearson Addison Wesley, São Paulo, SP, Brasil.</w:t>
      </w:r>
    </w:p>
    <w:p w:rsidR="00000000" w:rsidDel="00000000" w:rsidP="00000000" w:rsidRDefault="00000000" w:rsidRPr="00000000" w14:paraId="0000009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Fowler, M. 2005. </w:t>
      </w:r>
      <w:r w:rsidDel="00000000" w:rsidR="00000000" w:rsidRPr="00000000">
        <w:rPr>
          <w:rFonts w:ascii="Arial" w:cs="Arial" w:eastAsia="Arial" w:hAnsi="Arial"/>
          <w:i w:val="1"/>
          <w:sz w:val="22"/>
          <w:szCs w:val="22"/>
          <w:rtl w:val="0"/>
        </w:rPr>
        <w:t xml:space="preserve">UML Essencial: um breve guia para a linguagem padrão de modelagem de objetos.</w:t>
      </w:r>
      <w:r w:rsidDel="00000000" w:rsidR="00000000" w:rsidRPr="00000000">
        <w:rPr>
          <w:rFonts w:ascii="Arial" w:cs="Arial" w:eastAsia="Arial" w:hAnsi="Arial"/>
          <w:sz w:val="22"/>
          <w:szCs w:val="22"/>
          <w:rtl w:val="0"/>
        </w:rPr>
        <w:t xml:space="preserve"> 3ed. Bookman, Porto Alegre, RS, Brasil.</w:t>
      </w:r>
    </w:p>
    <w:p w:rsidR="00000000" w:rsidDel="00000000" w:rsidP="00000000" w:rsidRDefault="00000000" w:rsidRPr="00000000" w14:paraId="0000009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Hohpe, G.; Woolf, B. 2003. </w:t>
      </w:r>
      <w:r w:rsidDel="00000000" w:rsidR="00000000" w:rsidRPr="00000000">
        <w:rPr>
          <w:rFonts w:ascii="Arial" w:cs="Arial" w:eastAsia="Arial" w:hAnsi="Arial"/>
          <w:i w:val="1"/>
          <w:sz w:val="22"/>
          <w:szCs w:val="22"/>
          <w:rtl w:val="0"/>
        </w:rPr>
        <w:t xml:space="preserve">Enterprise Integration Patterns: Designing, Building, and Deploying Messaging Solutions.</w:t>
      </w:r>
      <w:r w:rsidDel="00000000" w:rsidR="00000000" w:rsidRPr="00000000">
        <w:rPr>
          <w:rFonts w:ascii="Arial" w:cs="Arial" w:eastAsia="Arial" w:hAnsi="Arial"/>
          <w:sz w:val="22"/>
          <w:szCs w:val="22"/>
          <w:rtl w:val="0"/>
        </w:rPr>
        <w:t xml:space="preserve"> 1ed. Addison-Wesley, Boston, MA, USA.</w:t>
      </w:r>
    </w:p>
    <w:p w:rsidR="00000000" w:rsidDel="00000000" w:rsidP="00000000" w:rsidRDefault="00000000" w:rsidRPr="00000000" w14:paraId="0000009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RabbitMQ. 2025. </w:t>
      </w:r>
      <w:r w:rsidDel="00000000" w:rsidR="00000000" w:rsidRPr="00000000">
        <w:rPr>
          <w:rFonts w:ascii="Arial" w:cs="Arial" w:eastAsia="Arial" w:hAnsi="Arial"/>
          <w:i w:val="1"/>
          <w:sz w:val="22"/>
          <w:szCs w:val="22"/>
          <w:rtl w:val="0"/>
        </w:rPr>
        <w:t xml:space="preserve">RabbitMQ is a reliable and mature messaging and streaming broker, which is easy to deploy on cloud environments, on-premises, and on your local machine.</w:t>
      </w:r>
      <w:r w:rsidDel="00000000" w:rsidR="00000000" w:rsidRPr="00000000">
        <w:rPr>
          <w:rFonts w:ascii="Arial" w:cs="Arial" w:eastAsia="Arial" w:hAnsi="Arial"/>
          <w:sz w:val="22"/>
          <w:szCs w:val="22"/>
          <w:rtl w:val="0"/>
        </w:rPr>
        <w:t xml:space="preserve"> Disponível em:</w:t>
      </w:r>
      <w:hyperlink r:id="rId9">
        <w:r w:rsidDel="00000000" w:rsidR="00000000" w:rsidRPr="00000000">
          <w:rPr>
            <w:rFonts w:ascii="Arial" w:cs="Arial" w:eastAsia="Arial" w:hAnsi="Arial"/>
            <w:sz w:val="22"/>
            <w:szCs w:val="22"/>
            <w:rtl w:val="0"/>
          </w:rPr>
          <w:t xml:space="preserve"> </w:t>
        </w:r>
      </w:hyperlink>
      <w:hyperlink r:id="rId10">
        <w:r w:rsidDel="00000000" w:rsidR="00000000" w:rsidRPr="00000000">
          <w:rPr>
            <w:rFonts w:ascii="Arial" w:cs="Arial" w:eastAsia="Arial" w:hAnsi="Arial"/>
            <w:color w:val="1155cc"/>
            <w:sz w:val="22"/>
            <w:szCs w:val="22"/>
            <w:u w:val="single"/>
            <w:rtl w:val="0"/>
          </w:rPr>
          <w:t xml:space="preserve">https://www.rabbitmq.com/</w:t>
        </w:r>
      </w:hyperlink>
      <w:r w:rsidDel="00000000" w:rsidR="00000000" w:rsidRPr="00000000">
        <w:rPr>
          <w:rFonts w:ascii="Arial" w:cs="Arial" w:eastAsia="Arial" w:hAnsi="Arial"/>
          <w:sz w:val="22"/>
          <w:szCs w:val="22"/>
          <w:rtl w:val="0"/>
        </w:rPr>
        <w:t xml:space="preserve">. Acesso em: 28 out. 2025.</w:t>
      </w:r>
    </w:p>
    <w:p w:rsidR="00000000" w:rsidDel="00000000" w:rsidP="00000000" w:rsidRDefault="00000000" w:rsidRPr="00000000" w14:paraId="0000009F">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sz w:val="22"/>
          <w:szCs w:val="22"/>
        </w:rPr>
      </w:pPr>
      <w:r w:rsidDel="00000000" w:rsidR="00000000" w:rsidRPr="00000000">
        <w:rPr>
          <w:rtl w:val="0"/>
        </w:rPr>
      </w:r>
    </w:p>
    <w:sectPr>
      <w:headerReference r:id="rId11" w:type="default"/>
      <w:footerReference r:id="rId12" w:type="default"/>
      <w:pgSz w:h="16838" w:w="11906" w:orient="portrait"/>
      <w:pgMar w:bottom="1417.3228346456694" w:top="1417.3228346456694" w:left="1417.3228346456694" w:right="1417.322834645669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Projeto de Pesquisa – Trabalho de Conclusão de Curso </w:t>
    </w:r>
    <w:r w:rsidDel="00000000" w:rsidR="00000000" w:rsidRPr="00000000">
      <w:drawing>
        <wp:anchor allowOverlap="1" behindDoc="0" distB="0" distT="0" distL="114300" distR="114300" hidden="0" layoutInCell="1" locked="0" relativeHeight="0" simplePos="0">
          <wp:simplePos x="0" y="0"/>
          <wp:positionH relativeFrom="column">
            <wp:posOffset>5035550</wp:posOffset>
          </wp:positionH>
          <wp:positionV relativeFrom="paragraph">
            <wp:posOffset>-105409</wp:posOffset>
          </wp:positionV>
          <wp:extent cx="723900" cy="298450"/>
          <wp:effectExtent b="0" l="0" r="0" t="0"/>
          <wp:wrapSquare wrapText="bothSides" distB="0" distT="0" distL="114300" distR="114300"/>
          <wp:docPr descr="Desenho com traços pretos em fundo branco&#10;&#10;Descrição gerada automaticamente com confiança média" id="1667734151"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667734150" name=""/>
              <a:graphic>
                <a:graphicData uri="http://schemas.microsoft.com/office/word/2010/wordprocessingShape">
                  <wps:wsp>
                    <wps:cNvCnPr/>
                    <wps:spPr>
                      <a:xfrm>
                        <a:off x="2469450" y="3780000"/>
                        <a:ext cx="5753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667734150"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384339"/>
    <w:pPr>
      <w:ind w:left="720"/>
      <w:contextualSpacing w:val="1"/>
    </w:pPr>
  </w:style>
  <w:style w:type="character" w:styleId="TextodoEspaoReservado">
    <w:name w:val="Placeholder Text"/>
    <w:basedOn w:val="Fontepargpadro"/>
    <w:uiPriority w:val="99"/>
    <w:semiHidden w:val="1"/>
    <w:rsid w:val="00E53CC8"/>
    <w:rPr>
      <w:color w:val="808080"/>
    </w:rPr>
  </w:style>
  <w:style w:type="character" w:styleId="Estilo1" w:customStyle="1">
    <w:name w:val="Estilo1"/>
    <w:basedOn w:val="Fontepargpadro"/>
    <w:uiPriority w:val="1"/>
    <w:rsid w:val="008B7819"/>
    <w:rPr>
      <w:rFonts w:ascii="Arial" w:hAnsi="Arial"/>
      <w:b w:val="1"/>
      <w:sz w:val="24"/>
      <w:u w:val="single"/>
    </w:rPr>
  </w:style>
  <w:style w:type="character" w:styleId="Preenchimentoformulrio" w:customStyle="1">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val="1"/>
    <w:rsid w:val="00E42439"/>
    <w:pPr>
      <w:tabs>
        <w:tab w:val="center" w:pos="4252"/>
        <w:tab w:val="right" w:pos="8504"/>
      </w:tabs>
    </w:pPr>
  </w:style>
  <w:style w:type="character" w:styleId="CabealhoChar" w:customStyle="1">
    <w:name w:val="Cabeçalho Char"/>
    <w:basedOn w:val="Fontepargpadro"/>
    <w:link w:val="Cabealho"/>
    <w:uiPriority w:val="99"/>
    <w:rsid w:val="00E42439"/>
  </w:style>
  <w:style w:type="paragraph" w:styleId="Rodap">
    <w:name w:val="footer"/>
    <w:basedOn w:val="Normal"/>
    <w:link w:val="RodapChar"/>
    <w:uiPriority w:val="99"/>
    <w:unhideWhenUsed w:val="1"/>
    <w:rsid w:val="00E42439"/>
    <w:pPr>
      <w:tabs>
        <w:tab w:val="center" w:pos="4252"/>
        <w:tab w:val="right" w:pos="8504"/>
      </w:tabs>
    </w:pPr>
  </w:style>
  <w:style w:type="character" w:styleId="RodapChar" w:customStyle="1">
    <w:name w:val="Rodapé Char"/>
    <w:basedOn w:val="Fontepargpadro"/>
    <w:link w:val="Rodap"/>
    <w:uiPriority w:val="99"/>
    <w:rsid w:val="00E42439"/>
  </w:style>
  <w:style w:type="paragraph" w:styleId="SemEspaamento">
    <w:name w:val="No Spacing"/>
    <w:uiPriority w:val="1"/>
    <w:qFormat w:val="1"/>
    <w:rsid w:val="00E42439"/>
    <w:pPr>
      <w:spacing w:after="0" w:line="240" w:lineRule="auto"/>
      <w:jc w:val="both"/>
    </w:pPr>
    <w:rPr>
      <w:rFonts w:ascii="Arial" w:cs="Arial" w:hAnsi="Arial"/>
    </w:rPr>
  </w:style>
  <w:style w:type="character" w:styleId="Estilo2" w:customStyle="1">
    <w:name w:val="Estilo 2"/>
    <w:basedOn w:val="Fontepargpadro"/>
    <w:uiPriority w:val="1"/>
    <w:rsid w:val="00A478D3"/>
    <w:rPr>
      <w:rFonts w:ascii="Arial" w:hAnsi="Arial"/>
      <w:color w:val="ff0000"/>
      <w:sz w:val="20"/>
    </w:rPr>
  </w:style>
  <w:style w:type="character" w:styleId="Estilobotao" w:customStyle="1">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EB01A6"/>
    <w:rPr>
      <w:color w:val="0563c1" w:themeColor="hyperlink"/>
      <w:u w:val="single"/>
    </w:rPr>
  </w:style>
  <w:style w:type="character" w:styleId="MenoPendente">
    <w:name w:val="Unresolved Mention"/>
    <w:basedOn w:val="Fontepargpadro"/>
    <w:uiPriority w:val="99"/>
    <w:semiHidden w:val="1"/>
    <w:unhideWhenUsed w:val="1"/>
    <w:rsid w:val="00EB01A6"/>
    <w:rPr>
      <w:color w:val="605e5c"/>
      <w:shd w:color="auto" w:fill="e1dfdd" w:val="clear"/>
    </w:rPr>
  </w:style>
  <w:style w:type="character" w:styleId="ui-provider" w:customStyle="1">
    <w:name w:val="ui-provider"/>
    <w:basedOn w:val="Fontepargpadro"/>
    <w:rsid w:val="00112D43"/>
  </w:style>
  <w:style w:type="paragraph" w:styleId="Reviso">
    <w:name w:val="Revision"/>
    <w:hidden w:val="1"/>
    <w:uiPriority w:val="99"/>
    <w:semiHidden w:val="1"/>
    <w:rsid w:val="00664906"/>
    <w:pPr>
      <w:spacing w:after="0" w:line="240" w:lineRule="auto"/>
    </w:pPr>
    <w:rPr>
      <w:rFonts w:ascii="Times New Roman" w:cs="Times New Roman" w:eastAsia="Times New Roman" w:hAnsi="Times New Roman"/>
      <w:sz w:val="20"/>
      <w:szCs w:val="20"/>
      <w:lang w:eastAsia="pt-BR" w:val="en-US"/>
    </w:rPr>
  </w:style>
  <w:style w:type="character" w:styleId="HiperlinkVisitado">
    <w:name w:val="FollowedHyperlink"/>
    <w:basedOn w:val="Fontepargpadro"/>
    <w:uiPriority w:val="99"/>
    <w:semiHidden w:val="1"/>
    <w:unhideWhenUsed w:val="1"/>
    <w:rsid w:val="00A8441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rabbitmq.com/" TargetMode="External"/><Relationship Id="rId12" Type="http://schemas.openxmlformats.org/officeDocument/2006/relationships/footer" Target="footer1.xml"/><Relationship Id="rId9" Type="http://schemas.openxmlformats.org/officeDocument/2006/relationships/hyperlink" Target="https://www.rabbitmq.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epea.org.br/upload/kceditor/files/agro%20conceito%20e%20evolu%C3%A7%C3%A3o_jan22_.pdf" TargetMode="External"/><Relationship Id="rId8" Type="http://schemas.openxmlformats.org/officeDocument/2006/relationships/hyperlink" Target="https://www.cepea.org.br/upload/kceditor/files/agro%20conceito%20e%20evolu%C3%A7%C3%A3o_jan22_.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YY3mKkX6Dp52xpcdFtRWQtgbA==">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2024-06-11T16:47:00Z</dcterms:created>
  <dc:cre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e2b3c241-025d-4eb1-be27-bc81052703a7</vt:lpwstr>
  </property>
</Properties>
</file>