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omfortaa" w:cs="Comfortaa" w:eastAsia="Comfortaa" w:hAnsi="Comfortaa"/>
          <w:color w:val="6d9eeb"/>
        </w:rPr>
      </w:pPr>
      <w:bookmarkStart w:colFirst="0" w:colLast="0" w:name="_a7lj96mnpss8" w:id="0"/>
      <w:bookmarkEnd w:id="0"/>
      <w:r w:rsidDel="00000000" w:rsidR="00000000" w:rsidRPr="00000000">
        <w:rPr>
          <w:rFonts w:ascii="Comfortaa" w:cs="Comfortaa" w:eastAsia="Comfortaa" w:hAnsi="Comfortaa"/>
          <w:color w:val="6d9eeb"/>
          <w:rtl w:val="0"/>
        </w:rPr>
        <w:t xml:space="preserve">Piano dei test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test delle varie funzionalità sono stati realizzati tramite Cucumber ed Rspec.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 le user stories sono stati realizzati i corrispondenti file “.feature” che testano il corretto svolgimento delle funzionalità e che i risultati vengano mostrati correttamente agli utenti.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test vengono eseguiti tramite il comando ‘rake cucumber’.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singole funzioni presenti nei controller sono state testate tramite Rspec con l’ausilio di FactoryBot per creare records fittizzi e momentanei nella base di dati necessari per il corretto svolgimento dei metodi da testare.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test vengono eseguiti tramite il comando ‘bundle exec rspec’.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 sono stati testati i modelli che utilizzano funzionalità di gemme, come ad esempio Oauth per Facebook o Devise per la registrazione e il login degli utenti, poiché considerati corretti.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