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9DD41C3" w14:textId="77777777" w:rsidR="00F079D9" w:rsidRDefault="00000000">
      <w:pPr>
        <w:spacing w:after="40"/>
      </w:pPr>
      <w:r>
        <w:rPr>
          <w:b/>
          <w:bCs/>
          <w:color w:val="1F4E79"/>
          <w:sz w:val="48"/>
          <w:szCs w:val="48"/>
        </w:rPr>
        <w:t>Do Buybacks Explain European Stock Returns</w:t>
      </w:r>
    </w:p>
    <w:p w14:paraId="08309B87" w14:textId="77777777" w:rsidR="00F079D9" w:rsidRDefault="00000000">
      <w:pPr>
        <w:spacing w:after="200"/>
      </w:pPr>
      <w:r>
        <w:rPr>
          <w:b/>
          <w:bCs/>
          <w:color w:val="1F4E79"/>
          <w:sz w:val="48"/>
          <w:szCs w:val="48"/>
        </w:rPr>
        <w:t>Better Than Earnings Growth?</w:t>
      </w:r>
    </w:p>
    <w:p w14:paraId="4BCB3AAC" w14:textId="76E0E82D" w:rsidR="00F079D9" w:rsidRPr="00B93BA8" w:rsidRDefault="00000000">
      <w:pPr>
        <w:spacing w:after="400" w:line="276" w:lineRule="auto"/>
      </w:pPr>
      <w:r w:rsidRPr="00B93BA8">
        <w:rPr>
          <w:i/>
          <w:iCs/>
          <w:color w:val="555555"/>
          <w:sz w:val="20"/>
          <w:szCs w:val="20"/>
        </w:rPr>
        <w:t>March 2026</w:t>
      </w:r>
      <w:r w:rsidR="00B93BA8" w:rsidRPr="00B93BA8">
        <w:rPr>
          <w:i/>
          <w:iCs/>
          <w:color w:val="555555"/>
          <w:sz w:val="20"/>
          <w:szCs w:val="20"/>
        </w:rPr>
        <w:t>, Riccardo Ceccaroni, Copenhagen Business Sch</w:t>
      </w:r>
      <w:r w:rsidR="00B93BA8">
        <w:rPr>
          <w:i/>
          <w:iCs/>
          <w:color w:val="555555"/>
          <w:sz w:val="20"/>
          <w:szCs w:val="20"/>
        </w:rPr>
        <w:t>ool</w:t>
      </w:r>
    </w:p>
    <w:p w14:paraId="4E96ADE7" w14:textId="77777777" w:rsidR="00F079D9" w:rsidRDefault="00000000">
      <w:pPr>
        <w:pStyle w:val="Heading1"/>
        <w:spacing w:before="0" w:after="160" w:line="276" w:lineRule="auto"/>
      </w:pPr>
      <w:r>
        <w:rPr>
          <w:sz w:val="22"/>
          <w:szCs w:val="22"/>
        </w:rPr>
        <w:t>The Question</w:t>
      </w:r>
    </w:p>
    <w:p w14:paraId="059A5375" w14:textId="2CA3CEFA" w:rsidR="00F079D9" w:rsidRDefault="00000000">
      <w:pPr>
        <w:spacing w:after="160" w:line="276" w:lineRule="auto"/>
      </w:pPr>
      <w:r>
        <w:t>When a company buys back its own shares, the number of shares outstanding goes down. That means earnings per share goes up even if net income stays flat</w:t>
      </w:r>
      <w:r w:rsidR="00B93BA8">
        <w:t>, as</w:t>
      </w:r>
      <w:r>
        <w:t xml:space="preserve"> the same profit is now divided among fewer shares. Since investors and analysts evaluate companies largely on EPS and EPS growth, buybacks can make a company look more profitable than it actually became.</w:t>
      </w:r>
    </w:p>
    <w:p w14:paraId="0C806F7F" w14:textId="10E897FC" w:rsidR="00F079D9" w:rsidRDefault="00000000">
      <w:pPr>
        <w:spacing w:after="160" w:line="276" w:lineRule="auto"/>
      </w:pPr>
      <w:r>
        <w:t>This raises a question: does the market reward this kind of financial engineering the same way it rewards genuine profit growth? And if it does, how much of what we call “EPS growth” in European markets is real, and how much is manufactured?</w:t>
      </w:r>
    </w:p>
    <w:p w14:paraId="36421342" w14:textId="77777777" w:rsidR="00F079D9" w:rsidRDefault="00000000">
      <w:pPr>
        <w:pStyle w:val="Heading1"/>
        <w:spacing w:before="0" w:after="160" w:line="276" w:lineRule="auto"/>
      </w:pPr>
      <w:r>
        <w:rPr>
          <w:sz w:val="22"/>
          <w:szCs w:val="22"/>
        </w:rPr>
        <w:t>What We Studied</w:t>
      </w:r>
    </w:p>
    <w:p w14:paraId="1FE9A6B1" w14:textId="374D4F65" w:rsidR="00F079D9" w:rsidRDefault="00000000">
      <w:pPr>
        <w:spacing w:after="160" w:line="276" w:lineRule="auto"/>
      </w:pPr>
      <w:r>
        <w:t>We examined 1</w:t>
      </w:r>
      <w:r w:rsidR="00B44A1D">
        <w:t>40</w:t>
      </w:r>
      <w:r>
        <w:t xml:space="preserve"> companies across four major European indexes over the period 2015–202</w:t>
      </w:r>
      <w:r w:rsidR="00B93BA8">
        <w:t>4</w:t>
      </w:r>
      <w:r>
        <w:t>: the FTSE MIB (</w:t>
      </w:r>
      <w:r w:rsidR="00B44A1D">
        <w:t>36</w:t>
      </w:r>
      <w:r>
        <w:t xml:space="preserve"> companies, Italy), DAX 40 (</w:t>
      </w:r>
      <w:r w:rsidR="00B44A1D">
        <w:t>38</w:t>
      </w:r>
      <w:r>
        <w:t>, Germany), CAC 40 (</w:t>
      </w:r>
      <w:r w:rsidR="00B44A1D">
        <w:t>35</w:t>
      </w:r>
      <w:r>
        <w:t>, France), and IBEX 35 (3</w:t>
      </w:r>
      <w:r w:rsidR="00B44A1D">
        <w:t>1</w:t>
      </w:r>
      <w:r>
        <w:t>, Spain). Two companies — Stellantis and STMicroelectronics — appear in both the FTSE MIB and CAC 40; we included each once to avoid double-counting.</w:t>
      </w:r>
    </w:p>
    <w:p w14:paraId="61AC945D" w14:textId="5836E8E4" w:rsidR="00F079D9" w:rsidRDefault="00000000">
      <w:pPr>
        <w:spacing w:after="160" w:line="276" w:lineRule="auto"/>
      </w:pPr>
      <w:r>
        <w:t>For each company-year, we collected annual net income,</w:t>
      </w:r>
      <w:r w:rsidR="00B93BA8">
        <w:t xml:space="preserve"> stock prices,</w:t>
      </w:r>
      <w:r>
        <w:t xml:space="preserve"> weighted average shares outstanding, and year-end market capitalisation from company filings via Wisesheets. From these, we derived EPS, EPS growth, net income growth, share count change, P/E ratios, and P/E change.</w:t>
      </w:r>
    </w:p>
    <w:p w14:paraId="34C4993D" w14:textId="77777777" w:rsidR="00F079D9" w:rsidRDefault="00000000">
      <w:pPr>
        <w:spacing w:after="160" w:line="276" w:lineRule="auto"/>
      </w:pPr>
      <w:r>
        <w:t>After filtering out company-years with missing data, negative P/E ratios, or extreme P/E values above 200, and winsorizing all variables at the 5th and 95th percentiles, we were left with 1,036 usable company-year observations spanning 2016–2024.</w:t>
      </w:r>
    </w:p>
    <w:p w14:paraId="753790C0" w14:textId="77777777" w:rsidR="00F079D9" w:rsidRDefault="00000000">
      <w:pPr>
        <w:pStyle w:val="Heading1"/>
        <w:spacing w:before="0" w:after="160" w:line="276" w:lineRule="auto"/>
      </w:pPr>
      <w:r>
        <w:rPr>
          <w:sz w:val="22"/>
          <w:szCs w:val="22"/>
        </w:rPr>
        <w:t>What We Did</w:t>
      </w:r>
    </w:p>
    <w:p w14:paraId="6FB8FC8D" w14:textId="77777777" w:rsidR="00F079D9" w:rsidRDefault="00000000">
      <w:pPr>
        <w:spacing w:after="160" w:line="276" w:lineRule="auto"/>
      </w:pPr>
      <w:r>
        <w:t>The analysis had two parts.</w:t>
      </w:r>
    </w:p>
    <w:p w14:paraId="26BD8F28" w14:textId="77777777" w:rsidR="00F079D9" w:rsidRDefault="00000000">
      <w:pPr>
        <w:spacing w:after="160" w:line="276" w:lineRule="auto"/>
      </w:pPr>
      <w:r>
        <w:rPr>
          <w:b/>
          <w:bCs/>
        </w:rPr>
        <w:t>First, we decomposed EPS growth.</w:t>
      </w:r>
      <w:r>
        <w:t xml:space="preserve"> For each company-year, we split EPS growth into the portion driven by net income change (the “income effect”) and the portion driven by share count reduction (the “buyback effect”). We then aggregated these by index and by year to see which countries and which periods relied more on buybacks to grow EPS.</w:t>
      </w:r>
    </w:p>
    <w:p w14:paraId="5129B497" w14:textId="77777777" w:rsidR="00F079D9" w:rsidRDefault="00000000">
      <w:pPr>
        <w:spacing w:after="160" w:line="276" w:lineRule="auto"/>
      </w:pPr>
      <w:r>
        <w:rPr>
          <w:b/>
          <w:bCs/>
        </w:rPr>
        <w:t>Second, we ran cross-sectional regressions.</w:t>
      </w:r>
      <w:r>
        <w:t xml:space="preserve"> We estimated six OLS models with heteroskedasticity-robust standard errors (HC1), all with annual stock price return as the dependent variable:</w:t>
      </w:r>
    </w:p>
    <w:p w14:paraId="4801F480" w14:textId="77777777" w:rsidR="00F079D9" w:rsidRDefault="00000000">
      <w:pPr>
        <w:spacing w:after="160" w:line="276" w:lineRule="auto"/>
      </w:pPr>
      <w:r>
        <w:rPr>
          <w:b/>
          <w:bCs/>
        </w:rPr>
        <w:t xml:space="preserve">M1: </w:t>
      </w:r>
      <w:r>
        <w:t xml:space="preserve">Return ~ NI Growth. </w:t>
      </w:r>
      <w:r>
        <w:rPr>
          <w:b/>
          <w:bCs/>
        </w:rPr>
        <w:t xml:space="preserve">M2: </w:t>
      </w:r>
      <w:r>
        <w:t xml:space="preserve">Return ~ EPS Growth. </w:t>
      </w:r>
      <w:r>
        <w:rPr>
          <w:b/>
          <w:bCs/>
        </w:rPr>
        <w:t xml:space="preserve">M3: </w:t>
      </w:r>
      <w:r>
        <w:t xml:space="preserve">Return ~ NI Growth + Share Count Change. </w:t>
      </w:r>
      <w:r>
        <w:rPr>
          <w:b/>
          <w:bCs/>
        </w:rPr>
        <w:t xml:space="preserve">M4: </w:t>
      </w:r>
      <w:r>
        <w:t xml:space="preserve">Return ~ NI Growth + PE Change. </w:t>
      </w:r>
      <w:r>
        <w:rPr>
          <w:b/>
          <w:bCs/>
        </w:rPr>
        <w:t xml:space="preserve">M5: </w:t>
      </w:r>
      <w:r>
        <w:t xml:space="preserve">Return ~ NI Growth + Share Count Change + PE Change. </w:t>
      </w:r>
      <w:r>
        <w:rPr>
          <w:b/>
          <w:bCs/>
        </w:rPr>
        <w:t xml:space="preserve">M6: </w:t>
      </w:r>
      <w:r>
        <w:t>Return ~ EPS Growth + PE Change.</w:t>
      </w:r>
    </w:p>
    <w:p w14:paraId="0E0D9EB5" w14:textId="1972F359" w:rsidR="00F079D9" w:rsidRDefault="00000000">
      <w:pPr>
        <w:spacing w:after="160" w:line="276" w:lineRule="auto"/>
      </w:pPr>
      <w:r>
        <w:t xml:space="preserve">The logic: M1 and M2 test whether income growth or EPS growth (which bundles in the buyback effect) better predicts returns. M3 asks whether buybacks add explanatory power beyond earnings. M4 and M5 introduce P/E change as a control for valuation expansion and compression. M6 tests whether EPS growth outperforms when </w:t>
      </w:r>
      <w:r w:rsidR="00B93BA8">
        <w:t>controlling</w:t>
      </w:r>
      <w:r>
        <w:t xml:space="preserve"> P/E.</w:t>
      </w:r>
    </w:p>
    <w:p w14:paraId="3B8E2ED1" w14:textId="1B818273" w:rsidR="00F079D9" w:rsidRDefault="00000000">
      <w:pPr>
        <w:spacing w:after="160" w:line="276" w:lineRule="auto"/>
      </w:pPr>
      <w:r>
        <w:t>We ran all six models on the pooled sample and separately on each of the four indexes</w:t>
      </w:r>
      <w:r w:rsidR="00B93BA8">
        <w:t xml:space="preserve">, making </w:t>
      </w:r>
      <w:r>
        <w:t>30 regressions in total.</w:t>
      </w:r>
    </w:p>
    <w:p w14:paraId="58A6D015" w14:textId="77777777" w:rsidR="00F079D9" w:rsidRDefault="00000000">
      <w:pPr>
        <w:pStyle w:val="Heading1"/>
        <w:spacing w:before="0" w:after="160" w:line="276" w:lineRule="auto"/>
      </w:pPr>
      <w:r>
        <w:rPr>
          <w:sz w:val="22"/>
          <w:szCs w:val="22"/>
        </w:rPr>
        <w:t>Results</w:t>
      </w:r>
    </w:p>
    <w:p w14:paraId="12898C66" w14:textId="77777777" w:rsidR="00F079D9" w:rsidRDefault="00000000">
      <w:pPr>
        <w:pStyle w:val="Heading2"/>
        <w:spacing w:before="0" w:after="160" w:line="276" w:lineRule="auto"/>
      </w:pPr>
      <w:r>
        <w:rPr>
          <w:sz w:val="22"/>
          <w:szCs w:val="22"/>
        </w:rPr>
        <w:t>Buybacks barely move European EPS</w:t>
      </w:r>
    </w:p>
    <w:p w14:paraId="41DBE591" w14:textId="77777777" w:rsidR="00F079D9" w:rsidRDefault="00000000">
      <w:pPr>
        <w:spacing w:after="160" w:line="276" w:lineRule="auto"/>
      </w:pPr>
      <w:r>
        <w:t>Across the full sample, the average annual buyback effect on EPS is essentially zero: −0.2%. The income effect averages +28%. In other words, nearly all EPS growth in European markets comes from actual profit growth, not from share count reduction. This holds across all four countries.</w:t>
      </w:r>
    </w:p>
    <w:p w14:paraId="2C02D494" w14:textId="3DF600D4" w:rsidR="00F079D9" w:rsidRDefault="00000000">
      <w:pPr>
        <w:spacing w:after="160" w:line="276" w:lineRule="auto"/>
      </w:pPr>
      <w:r>
        <w:t xml:space="preserve">About 42% of </w:t>
      </w:r>
      <w:r w:rsidR="00B93BA8">
        <w:t>company years</w:t>
      </w:r>
      <w:r>
        <w:t xml:space="preserve"> show a net reduction in shares outstanding, but most of these reductions are tiny. Even the most aggressive European repurchasers</w:t>
      </w:r>
      <w:r w:rsidR="00B93BA8">
        <w:t>, like</w:t>
      </w:r>
      <w:r>
        <w:t xml:space="preserve"> Munich Re, Allianz, Saint-Gobain</w:t>
      </w:r>
      <w:r w:rsidR="00B93BA8">
        <w:t>,</w:t>
      </w:r>
      <w:r>
        <w:t xml:space="preserve"> only get a 2% annual EPS boost from buybacks. </w:t>
      </w:r>
    </w:p>
    <w:p w14:paraId="03A1F0A2" w14:textId="77777777" w:rsidR="00F079D9" w:rsidRDefault="00000000">
      <w:pPr>
        <w:pStyle w:val="Heading2"/>
        <w:spacing w:before="0" w:after="160" w:line="276" w:lineRule="auto"/>
      </w:pPr>
      <w:r>
        <w:rPr>
          <w:sz w:val="22"/>
          <w:szCs w:val="22"/>
        </w:rPr>
        <w:t>P/E change dominates annual returns</w:t>
      </w:r>
    </w:p>
    <w:p w14:paraId="76993989" w14:textId="7D3ACAB5" w:rsidR="00F079D9" w:rsidRDefault="00B93BA8">
      <w:pPr>
        <w:spacing w:after="160" w:line="276" w:lineRule="auto"/>
      </w:pPr>
      <w:r>
        <w:t>An interesting result is how little earnings growth explains returns on its own. NI growth alone produces an R² of 5–10% depending on the market. Adding P/E change jumps it to 30–45%. The message is clear: annual stock returns are driven far more by changes in how much investors are willing to pay per euro of earnings than by earnings growth itself.</w:t>
      </w:r>
    </w:p>
    <w:p w14:paraId="6F412FEF" w14:textId="77777777" w:rsidR="00F079D9" w:rsidRDefault="00000000">
      <w:pPr>
        <w:spacing w:after="120" w:line="276" w:lineRule="auto"/>
      </w:pPr>
      <w:r>
        <w:t>Table 1 shows the R² across all six models:</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782"/>
        <w:gridCol w:w="725"/>
        <w:gridCol w:w="1168"/>
        <w:gridCol w:w="1168"/>
        <w:gridCol w:w="1168"/>
        <w:gridCol w:w="1168"/>
        <w:gridCol w:w="1168"/>
        <w:gridCol w:w="1013"/>
      </w:tblGrid>
      <w:tr w:rsidR="00F079D9" w14:paraId="0BA78A43" w14:textId="77777777">
        <w:tc>
          <w:tcPr>
            <w:tcW w:w="1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2D8C4B5" w14:textId="77777777" w:rsidR="00F079D9" w:rsidRDefault="00000000">
            <w:pPr>
              <w:jc w:val="center"/>
            </w:pPr>
            <w:r>
              <w:rPr>
                <w:b/>
                <w:bCs/>
                <w:color w:val="FFFFFF"/>
                <w:sz w:val="18"/>
                <w:szCs w:val="18"/>
              </w:rPr>
              <w:t>Sample</w:t>
            </w:r>
          </w:p>
        </w:tc>
        <w:tc>
          <w:tcPr>
            <w:tcW w:w="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0FF2859" w14:textId="77777777" w:rsidR="00F079D9" w:rsidRDefault="00000000">
            <w:pPr>
              <w:jc w:val="center"/>
            </w:pPr>
            <w:r>
              <w:rPr>
                <w:b/>
                <w:bCs/>
                <w:color w:val="FFFFFF"/>
                <w:sz w:val="18"/>
                <w:szCs w:val="18"/>
              </w:rPr>
              <w:t>N</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7BBBAF2" w14:textId="77777777" w:rsidR="00F079D9" w:rsidRDefault="00000000">
            <w:pPr>
              <w:jc w:val="center"/>
            </w:pPr>
            <w:r>
              <w:rPr>
                <w:b/>
                <w:bCs/>
                <w:color w:val="FFFFFF"/>
                <w:sz w:val="18"/>
                <w:szCs w:val="18"/>
              </w:rPr>
              <w:t>M1</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7FF9CE0" w14:textId="77777777" w:rsidR="00F079D9" w:rsidRDefault="00000000">
            <w:pPr>
              <w:jc w:val="center"/>
            </w:pPr>
            <w:r>
              <w:rPr>
                <w:b/>
                <w:bCs/>
                <w:color w:val="FFFFFF"/>
                <w:sz w:val="18"/>
                <w:szCs w:val="18"/>
              </w:rPr>
              <w:t>M2</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431F160" w14:textId="77777777" w:rsidR="00F079D9" w:rsidRDefault="00000000">
            <w:pPr>
              <w:jc w:val="center"/>
            </w:pPr>
            <w:r>
              <w:rPr>
                <w:b/>
                <w:bCs/>
                <w:color w:val="FFFFFF"/>
                <w:sz w:val="18"/>
                <w:szCs w:val="18"/>
              </w:rPr>
              <w:t>M3</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4B05CBF6" w14:textId="77777777" w:rsidR="00F079D9" w:rsidRDefault="00000000">
            <w:pPr>
              <w:jc w:val="center"/>
            </w:pPr>
            <w:r>
              <w:rPr>
                <w:b/>
                <w:bCs/>
                <w:color w:val="FFFFFF"/>
                <w:sz w:val="18"/>
                <w:szCs w:val="18"/>
              </w:rPr>
              <w:t>M4</w:t>
            </w:r>
          </w:p>
        </w:tc>
        <w:tc>
          <w:tcPr>
            <w:tcW w:w="105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86E7F46" w14:textId="77777777" w:rsidR="00F079D9" w:rsidRDefault="00000000">
            <w:pPr>
              <w:jc w:val="center"/>
            </w:pPr>
            <w:r>
              <w:rPr>
                <w:b/>
                <w:bCs/>
                <w:color w:val="FFFFFF"/>
                <w:sz w:val="18"/>
                <w:szCs w:val="18"/>
              </w:rPr>
              <w:t>M5</w:t>
            </w:r>
          </w:p>
        </w:tc>
        <w:tc>
          <w:tcPr>
            <w:tcW w:w="91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02157148" w14:textId="77777777" w:rsidR="00F079D9" w:rsidRDefault="00000000">
            <w:pPr>
              <w:jc w:val="center"/>
            </w:pPr>
            <w:r>
              <w:rPr>
                <w:b/>
                <w:bCs/>
                <w:color w:val="FFFFFF"/>
                <w:sz w:val="18"/>
                <w:szCs w:val="18"/>
              </w:rPr>
              <w:t>M6</w:t>
            </w:r>
          </w:p>
        </w:tc>
      </w:tr>
      <w:tr w:rsidR="00F079D9" w14:paraId="42AAD91F"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56FDB2C" w14:textId="77777777" w:rsidR="00F079D9" w:rsidRDefault="00000000">
            <w:r>
              <w:rPr>
                <w:b/>
                <w:bCs/>
                <w:sz w:val="18"/>
                <w:szCs w:val="18"/>
              </w:rPr>
              <w:t>Pooled</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F38059D" w14:textId="77777777" w:rsidR="00F079D9" w:rsidRDefault="00000000">
            <w:pPr>
              <w:jc w:val="center"/>
            </w:pPr>
            <w:r>
              <w:rPr>
                <w:sz w:val="18"/>
                <w:szCs w:val="18"/>
              </w:rPr>
              <w:t>1,036</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33C0C09"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A6915B"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2332F7" w14:textId="77777777" w:rsidR="00F079D9" w:rsidRDefault="00000000">
            <w:pPr>
              <w:jc w:val="center"/>
            </w:pPr>
            <w:r>
              <w:rPr>
                <w:sz w:val="18"/>
                <w:szCs w:val="18"/>
              </w:rPr>
              <w:t>0.068</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766FE94" w14:textId="77777777" w:rsidR="00F079D9" w:rsidRDefault="00000000">
            <w:pPr>
              <w:jc w:val="center"/>
            </w:pPr>
            <w:r>
              <w:rPr>
                <w:sz w:val="18"/>
                <w:szCs w:val="18"/>
              </w:rPr>
              <w:t>0.331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5414D3B" w14:textId="77777777" w:rsidR="00F079D9" w:rsidRDefault="00000000">
            <w:pPr>
              <w:jc w:val="center"/>
            </w:pPr>
            <w:r>
              <w:rPr>
                <w:sz w:val="18"/>
                <w:szCs w:val="18"/>
              </w:rPr>
              <w:t>0.335</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3CA5A1" w14:textId="77777777" w:rsidR="00F079D9" w:rsidRDefault="00000000">
            <w:pPr>
              <w:jc w:val="center"/>
            </w:pPr>
            <w:r>
              <w:rPr>
                <w:sz w:val="18"/>
                <w:szCs w:val="18"/>
              </w:rPr>
              <w:t>0.336</w:t>
            </w:r>
          </w:p>
        </w:tc>
      </w:tr>
      <w:tr w:rsidR="00F079D9" w14:paraId="00981531" w14:textId="77777777">
        <w:tc>
          <w:tcPr>
            <w:tcW w:w="1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F58469D" w14:textId="77777777" w:rsidR="00F079D9" w:rsidRDefault="00000000">
            <w:r>
              <w:rPr>
                <w:b/>
                <w:bCs/>
                <w:sz w:val="18"/>
                <w:szCs w:val="18"/>
              </w:rPr>
              <w:t>FTSE MIB</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899D265" w14:textId="77777777" w:rsidR="00F079D9" w:rsidRDefault="00000000">
            <w:pPr>
              <w:jc w:val="center"/>
            </w:pPr>
            <w:r>
              <w:rPr>
                <w:sz w:val="18"/>
                <w:szCs w:val="18"/>
              </w:rPr>
              <w:t>273</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02952F7" w14:textId="77777777" w:rsidR="00F079D9" w:rsidRDefault="00000000">
            <w:pPr>
              <w:jc w:val="center"/>
            </w:pPr>
            <w:r>
              <w:rPr>
                <w:sz w:val="18"/>
                <w:szCs w:val="18"/>
              </w:rPr>
              <w:t>0.058</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C60CB9B" w14:textId="77777777" w:rsidR="00F079D9" w:rsidRDefault="00000000">
            <w:pPr>
              <w:jc w:val="center"/>
            </w:pPr>
            <w:r>
              <w:rPr>
                <w:sz w:val="18"/>
                <w:szCs w:val="18"/>
              </w:rPr>
              <w:t>0.060</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86FFF82" w14:textId="77777777" w:rsidR="00F079D9" w:rsidRDefault="00000000">
            <w:pPr>
              <w:jc w:val="center"/>
            </w:pPr>
            <w:r>
              <w:rPr>
                <w:sz w:val="18"/>
                <w:szCs w:val="18"/>
              </w:rPr>
              <w:t>0.059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A9DDFD" w14:textId="77777777" w:rsidR="00F079D9" w:rsidRDefault="00000000">
            <w:pPr>
              <w:jc w:val="center"/>
            </w:pPr>
            <w:r>
              <w:rPr>
                <w:sz w:val="18"/>
                <w:szCs w:val="18"/>
              </w:rPr>
              <w:t>0.439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EB622DA" w14:textId="77777777" w:rsidR="00F079D9" w:rsidRDefault="00000000">
            <w:pPr>
              <w:jc w:val="center"/>
            </w:pPr>
            <w:r>
              <w:rPr>
                <w:sz w:val="18"/>
                <w:szCs w:val="18"/>
              </w:rPr>
              <w:t>0.441</w:t>
            </w:r>
          </w:p>
        </w:tc>
        <w:tc>
          <w:tcPr>
            <w:tcW w:w="91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C63ED6B" w14:textId="77777777" w:rsidR="00F079D9" w:rsidRDefault="00000000">
            <w:pPr>
              <w:jc w:val="center"/>
            </w:pPr>
            <w:r>
              <w:rPr>
                <w:sz w:val="18"/>
                <w:szCs w:val="18"/>
              </w:rPr>
              <w:t>0.455</w:t>
            </w:r>
          </w:p>
        </w:tc>
      </w:tr>
      <w:tr w:rsidR="00F079D9" w14:paraId="07BEC5D6"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719AD1" w14:textId="77777777" w:rsidR="00F079D9" w:rsidRDefault="00000000">
            <w:r>
              <w:rPr>
                <w:b/>
                <w:bCs/>
                <w:sz w:val="18"/>
                <w:szCs w:val="18"/>
              </w:rPr>
              <w:t>DAX 40</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24D2F99" w14:textId="77777777" w:rsidR="00F079D9" w:rsidRDefault="00000000">
            <w:pPr>
              <w:jc w:val="center"/>
            </w:pPr>
            <w:r>
              <w:rPr>
                <w:sz w:val="18"/>
                <w:szCs w:val="18"/>
              </w:rPr>
              <w:t>274</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27E68E" w14:textId="77777777" w:rsidR="00F079D9" w:rsidRDefault="00000000">
            <w:pPr>
              <w:jc w:val="center"/>
            </w:pPr>
            <w:r>
              <w:rPr>
                <w:sz w:val="18"/>
                <w:szCs w:val="18"/>
              </w:rPr>
              <w:t>0.053</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C4DDF4" w14:textId="77777777" w:rsidR="00F079D9" w:rsidRDefault="00000000">
            <w:pPr>
              <w:jc w:val="center"/>
            </w:pPr>
            <w:r>
              <w:rPr>
                <w:sz w:val="18"/>
                <w:szCs w:val="18"/>
              </w:rPr>
              <w:t>0.055</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283C9F5" w14:textId="77777777" w:rsidR="00F079D9" w:rsidRDefault="00000000">
            <w:pPr>
              <w:jc w:val="center"/>
            </w:pPr>
            <w:r>
              <w:rPr>
                <w:sz w:val="18"/>
                <w:szCs w:val="18"/>
              </w:rPr>
              <w:t>0.055</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4E7A0A1" w14:textId="77777777" w:rsidR="00F079D9" w:rsidRDefault="00000000">
            <w:pPr>
              <w:jc w:val="center"/>
            </w:pPr>
            <w:r>
              <w:rPr>
                <w:sz w:val="18"/>
                <w:szCs w:val="18"/>
              </w:rPr>
              <w:t>0.301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50A3E84" w14:textId="77777777" w:rsidR="00F079D9" w:rsidRDefault="00000000">
            <w:pPr>
              <w:jc w:val="center"/>
            </w:pPr>
            <w:r>
              <w:rPr>
                <w:sz w:val="18"/>
                <w:szCs w:val="18"/>
              </w:rPr>
              <w:t>0.312</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50D3BE0" w14:textId="77777777" w:rsidR="00F079D9" w:rsidRDefault="00000000">
            <w:pPr>
              <w:jc w:val="center"/>
            </w:pPr>
            <w:r>
              <w:rPr>
                <w:sz w:val="18"/>
                <w:szCs w:val="18"/>
              </w:rPr>
              <w:t>0.308</w:t>
            </w:r>
          </w:p>
        </w:tc>
      </w:tr>
      <w:tr w:rsidR="00F079D9" w14:paraId="76F34837" w14:textId="77777777">
        <w:tc>
          <w:tcPr>
            <w:tcW w:w="1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CB864D4" w14:textId="77777777" w:rsidR="00F079D9" w:rsidRDefault="00000000">
            <w:r>
              <w:rPr>
                <w:b/>
                <w:bCs/>
                <w:sz w:val="18"/>
                <w:szCs w:val="18"/>
              </w:rPr>
              <w:t>CAC 40</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900FACD" w14:textId="77777777" w:rsidR="00F079D9" w:rsidRDefault="00000000">
            <w:pPr>
              <w:jc w:val="center"/>
            </w:pPr>
            <w:r>
              <w:rPr>
                <w:sz w:val="18"/>
                <w:szCs w:val="18"/>
              </w:rPr>
              <w:t>271</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5A23F87" w14:textId="77777777" w:rsidR="00F079D9" w:rsidRDefault="00000000">
            <w:pPr>
              <w:jc w:val="center"/>
            </w:pPr>
            <w:r>
              <w:rPr>
                <w:sz w:val="18"/>
                <w:szCs w:val="18"/>
              </w:rPr>
              <w:t>0.105</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C6BC23C" w14:textId="77777777" w:rsidR="00F079D9" w:rsidRDefault="00000000">
            <w:pPr>
              <w:jc w:val="center"/>
            </w:pPr>
            <w:r>
              <w:rPr>
                <w:sz w:val="18"/>
                <w:szCs w:val="18"/>
              </w:rPr>
              <w:t>0.101</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D074760" w14:textId="77777777" w:rsidR="00F079D9" w:rsidRDefault="00000000">
            <w:pPr>
              <w:jc w:val="center"/>
            </w:pPr>
            <w:r>
              <w:rPr>
                <w:sz w:val="18"/>
                <w:szCs w:val="18"/>
              </w:rPr>
              <w:t>0.109</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49DD9A" w14:textId="77777777" w:rsidR="00F079D9" w:rsidRDefault="00000000">
            <w:pPr>
              <w:jc w:val="center"/>
            </w:pPr>
            <w:r>
              <w:rPr>
                <w:sz w:val="18"/>
                <w:szCs w:val="18"/>
              </w:rPr>
              <w:t>0.305</w:t>
            </w:r>
          </w:p>
        </w:tc>
        <w:tc>
          <w:tcPr>
            <w:tcW w:w="105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C751D6" w14:textId="77777777" w:rsidR="00F079D9" w:rsidRDefault="00000000">
            <w:pPr>
              <w:jc w:val="center"/>
            </w:pPr>
            <w:r>
              <w:rPr>
                <w:sz w:val="18"/>
                <w:szCs w:val="18"/>
              </w:rPr>
              <w:t>0.306</w:t>
            </w:r>
          </w:p>
        </w:tc>
        <w:tc>
          <w:tcPr>
            <w:tcW w:w="91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89B4000" w14:textId="77777777" w:rsidR="00F079D9" w:rsidRDefault="00000000">
            <w:pPr>
              <w:jc w:val="center"/>
            </w:pPr>
            <w:r>
              <w:rPr>
                <w:sz w:val="18"/>
                <w:szCs w:val="18"/>
              </w:rPr>
              <w:t>0.302</w:t>
            </w:r>
          </w:p>
        </w:tc>
      </w:tr>
      <w:tr w:rsidR="00F079D9" w14:paraId="21FC3D9C" w14:textId="77777777">
        <w:tc>
          <w:tcPr>
            <w:tcW w:w="1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E266EDF" w14:textId="77777777" w:rsidR="00F079D9" w:rsidRDefault="00000000">
            <w:r>
              <w:rPr>
                <w:b/>
                <w:bCs/>
                <w:sz w:val="18"/>
                <w:szCs w:val="18"/>
              </w:rPr>
              <w:t>IBEX 35</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785BD1" w14:textId="77777777" w:rsidR="00F079D9" w:rsidRDefault="00000000">
            <w:pPr>
              <w:jc w:val="center"/>
            </w:pPr>
            <w:r>
              <w:rPr>
                <w:sz w:val="18"/>
                <w:szCs w:val="18"/>
              </w:rPr>
              <w:t>218</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B67560A" w14:textId="77777777" w:rsidR="00F079D9" w:rsidRDefault="00000000">
            <w:pPr>
              <w:jc w:val="center"/>
            </w:pPr>
            <w:r>
              <w:rPr>
                <w:sz w:val="18"/>
                <w:szCs w:val="18"/>
              </w:rPr>
              <w:t>0.067</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65C93CD" w14:textId="77777777" w:rsidR="00F079D9" w:rsidRDefault="00000000">
            <w:pPr>
              <w:jc w:val="center"/>
            </w:pPr>
            <w:r>
              <w:rPr>
                <w:sz w:val="18"/>
                <w:szCs w:val="18"/>
              </w:rPr>
              <w:t>0.064</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9EF4F7" w14:textId="77777777" w:rsidR="00F079D9" w:rsidRDefault="00000000">
            <w:pPr>
              <w:jc w:val="center"/>
            </w:pPr>
            <w:r>
              <w:rPr>
                <w:sz w:val="18"/>
                <w:szCs w:val="18"/>
              </w:rPr>
              <w:t>0.071</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288B3C" w14:textId="77777777" w:rsidR="00F079D9" w:rsidRDefault="00000000">
            <w:pPr>
              <w:jc w:val="center"/>
            </w:pPr>
            <w:r>
              <w:rPr>
                <w:sz w:val="18"/>
                <w:szCs w:val="18"/>
              </w:rPr>
              <w:t>0.342</w:t>
            </w:r>
          </w:p>
        </w:tc>
        <w:tc>
          <w:tcPr>
            <w:tcW w:w="105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725F07" w14:textId="77777777" w:rsidR="00F079D9" w:rsidRDefault="00000000">
            <w:pPr>
              <w:jc w:val="center"/>
            </w:pPr>
            <w:r>
              <w:rPr>
                <w:sz w:val="18"/>
                <w:szCs w:val="18"/>
              </w:rPr>
              <w:t>0.356</w:t>
            </w:r>
          </w:p>
        </w:tc>
        <w:tc>
          <w:tcPr>
            <w:tcW w:w="91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B46E68" w14:textId="77777777" w:rsidR="00F079D9" w:rsidRDefault="00000000">
            <w:pPr>
              <w:jc w:val="center"/>
            </w:pPr>
            <w:r>
              <w:rPr>
                <w:sz w:val="18"/>
                <w:szCs w:val="18"/>
              </w:rPr>
              <w:t>0.344</w:t>
            </w:r>
          </w:p>
        </w:tc>
      </w:tr>
    </w:tbl>
    <w:p w14:paraId="64D45B7E" w14:textId="0444EB0C" w:rsidR="00F079D9" w:rsidRDefault="00000000">
      <w:pPr>
        <w:spacing w:before="80" w:after="200" w:line="276" w:lineRule="auto"/>
      </w:pPr>
      <w:r>
        <w:rPr>
          <w:i/>
          <w:iCs/>
          <w:color w:val="555555"/>
          <w:sz w:val="20"/>
          <w:szCs w:val="20"/>
        </w:rPr>
        <w:t>Models M1–M3 explain almost nothing. The jump happens at M4 (adding PE Change), and M5–M6 barely improve further. The FTSE MIB has the highest R² at 44%, suggesting Italian valuations track fundamentals more tightly</w:t>
      </w:r>
      <w:r w:rsidR="00B93BA8">
        <w:rPr>
          <w:i/>
          <w:iCs/>
          <w:color w:val="555555"/>
          <w:sz w:val="20"/>
          <w:szCs w:val="20"/>
        </w:rPr>
        <w:t>.</w:t>
      </w:r>
    </w:p>
    <w:p w14:paraId="41C6D81A" w14:textId="77777777" w:rsidR="00F079D9" w:rsidRDefault="00000000">
      <w:pPr>
        <w:pStyle w:val="Heading2"/>
        <w:spacing w:before="0" w:after="160" w:line="276" w:lineRule="auto"/>
      </w:pPr>
      <w:r>
        <w:rPr>
          <w:sz w:val="22"/>
          <w:szCs w:val="22"/>
        </w:rPr>
        <w:t>Buybacks have a small, country-specific effect</w:t>
      </w:r>
    </w:p>
    <w:p w14:paraId="045D236F" w14:textId="62F9EE32" w:rsidR="00F079D9" w:rsidRDefault="00000000">
      <w:pPr>
        <w:spacing w:after="160" w:line="276" w:lineRule="auto"/>
      </w:pPr>
      <w:r>
        <w:t>In Model 5 (the full specification), the share count change coefficient is negative and significant in the pooled sample (coefficient = −0.85, p = 0.009). The negative sign is correct: a decrease in shares (negative change) corresponds to higher returns. But the effect varies across countries.</w:t>
      </w:r>
    </w:p>
    <w:p w14:paraId="0424FF77" w14:textId="77777777" w:rsidR="00F079D9" w:rsidRDefault="00000000">
      <w:pPr>
        <w:spacing w:after="120" w:line="276" w:lineRule="auto"/>
      </w:pPr>
      <w:r>
        <w:t>Table 2 shows the full Model 5 output:</w:t>
      </w:r>
    </w:p>
    <w:tbl>
      <w:tblPr>
        <w:tblW w:w="9360" w:type="dxa"/>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4A0" w:firstRow="1" w:lastRow="0" w:firstColumn="1" w:lastColumn="0" w:noHBand="0" w:noVBand="1"/>
      </w:tblPr>
      <w:tblGrid>
        <w:gridCol w:w="1668"/>
        <w:gridCol w:w="724"/>
        <w:gridCol w:w="1892"/>
        <w:gridCol w:w="1002"/>
        <w:gridCol w:w="1002"/>
        <w:gridCol w:w="1002"/>
        <w:gridCol w:w="1002"/>
        <w:gridCol w:w="1068"/>
      </w:tblGrid>
      <w:tr w:rsidR="00F079D9" w14:paraId="108A2027" w14:textId="77777777">
        <w:tc>
          <w:tcPr>
            <w:tcW w:w="15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A693D2B" w14:textId="77777777" w:rsidR="00F079D9" w:rsidRDefault="00000000">
            <w:pPr>
              <w:jc w:val="center"/>
            </w:pPr>
            <w:r>
              <w:rPr>
                <w:b/>
                <w:bCs/>
                <w:color w:val="FFFFFF"/>
                <w:sz w:val="18"/>
                <w:szCs w:val="18"/>
              </w:rPr>
              <w:t>Sample</w:t>
            </w:r>
          </w:p>
        </w:tc>
        <w:tc>
          <w:tcPr>
            <w:tcW w:w="6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525C524B" w14:textId="77777777" w:rsidR="00F079D9" w:rsidRDefault="00000000">
            <w:pPr>
              <w:jc w:val="center"/>
            </w:pPr>
            <w:r>
              <w:rPr>
                <w:b/>
                <w:bCs/>
                <w:color w:val="FFFFFF"/>
                <w:sz w:val="18"/>
                <w:szCs w:val="18"/>
              </w:rPr>
              <w:t>N</w:t>
            </w:r>
          </w:p>
        </w:tc>
        <w:tc>
          <w:tcPr>
            <w:tcW w:w="17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3ACDDF83" w14:textId="77777777" w:rsidR="00F079D9" w:rsidRDefault="00000000">
            <w:pPr>
              <w:jc w:val="center"/>
            </w:pPr>
            <w:r>
              <w:rPr>
                <w:b/>
                <w:bCs/>
                <w:color w:val="FFFFFF"/>
                <w:sz w:val="18"/>
                <w:szCs w:val="18"/>
              </w:rPr>
              <w:t>Variable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07047D62" w14:textId="77777777" w:rsidR="00F079D9" w:rsidRDefault="00000000">
            <w:pPr>
              <w:jc w:val="center"/>
            </w:pPr>
            <w:r>
              <w:rPr>
                <w:b/>
                <w:bCs/>
                <w:color w:val="FFFFFF"/>
                <w:sz w:val="18"/>
                <w:szCs w:val="18"/>
              </w:rPr>
              <w:t>Coef</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524AD571" w14:textId="77777777" w:rsidR="00F079D9" w:rsidRDefault="00000000">
            <w:pPr>
              <w:jc w:val="center"/>
            </w:pPr>
            <w:r>
              <w:rPr>
                <w:b/>
                <w:bCs/>
                <w:color w:val="FFFFFF"/>
                <w:sz w:val="18"/>
                <w:szCs w:val="18"/>
              </w:rPr>
              <w:t>t-stat</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1BEB3CC6" w14:textId="77777777" w:rsidR="00F079D9" w:rsidRDefault="00000000">
            <w:pPr>
              <w:jc w:val="center"/>
            </w:pPr>
            <w:r>
              <w:rPr>
                <w:b/>
                <w:bCs/>
                <w:color w:val="FFFFFF"/>
                <w:sz w:val="18"/>
                <w:szCs w:val="18"/>
              </w:rPr>
              <w:t>p-value</w:t>
            </w:r>
          </w:p>
        </w:tc>
        <w:tc>
          <w:tcPr>
            <w:tcW w:w="90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2A8740E9" w14:textId="77777777" w:rsidR="00F079D9" w:rsidRDefault="00000000">
            <w:pPr>
              <w:jc w:val="center"/>
            </w:pPr>
            <w:r>
              <w:rPr>
                <w:b/>
                <w:bCs/>
                <w:color w:val="FFFFFF"/>
                <w:sz w:val="18"/>
                <w:szCs w:val="18"/>
              </w:rPr>
              <w:t>Sig</w:t>
            </w:r>
          </w:p>
        </w:tc>
        <w:tc>
          <w:tcPr>
            <w:tcW w:w="960" w:type="dxa"/>
            <w:tcBorders>
              <w:top w:val="single" w:sz="1" w:space="0" w:color="CCCCCC"/>
              <w:left w:val="single" w:sz="1" w:space="0" w:color="CCCCCC"/>
              <w:bottom w:val="single" w:sz="1" w:space="0" w:color="CCCCCC"/>
              <w:right w:val="single" w:sz="1" w:space="0" w:color="CCCCCC"/>
            </w:tcBorders>
            <w:shd w:val="clear" w:color="auto" w:fill="2E75B6"/>
            <w:tcMar>
              <w:top w:w="60" w:type="dxa"/>
              <w:left w:w="100" w:type="dxa"/>
              <w:bottom w:w="60" w:type="dxa"/>
              <w:right w:w="100" w:type="dxa"/>
            </w:tcMar>
            <w:vAlign w:val="center"/>
          </w:tcPr>
          <w:p w14:paraId="21D20157" w14:textId="77777777" w:rsidR="00F079D9" w:rsidRDefault="00000000">
            <w:pPr>
              <w:jc w:val="center"/>
            </w:pPr>
            <w:r>
              <w:rPr>
                <w:b/>
                <w:bCs/>
                <w:color w:val="FFFFFF"/>
                <w:sz w:val="18"/>
                <w:szCs w:val="18"/>
              </w:rPr>
              <w:t> R²</w:t>
            </w:r>
          </w:p>
        </w:tc>
      </w:tr>
      <w:tr w:rsidR="00F079D9" w14:paraId="753C3B6F"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E003ED4" w14:textId="77777777" w:rsidR="00F079D9" w:rsidRDefault="00000000">
            <w:r>
              <w:rPr>
                <w:b/>
                <w:bCs/>
                <w:sz w:val="18"/>
                <w:szCs w:val="18"/>
              </w:rPr>
              <w:t>Pooled</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770982" w14:textId="77777777" w:rsidR="00F079D9" w:rsidRDefault="00000000">
            <w:pPr>
              <w:jc w:val="center"/>
            </w:pPr>
            <w:r>
              <w:rPr>
                <w:sz w:val="18"/>
                <w:szCs w:val="18"/>
              </w:rPr>
              <w:t>1,036</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3B48670"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9631BC" w14:textId="77777777" w:rsidR="00F079D9" w:rsidRDefault="00000000">
            <w:pPr>
              <w:jc w:val="center"/>
            </w:pPr>
            <w:r>
              <w:rPr>
                <w:sz w:val="18"/>
                <w:szCs w:val="18"/>
              </w:rPr>
              <w:t>0.352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FEB1DF" w14:textId="77777777" w:rsidR="00F079D9" w:rsidRDefault="00000000">
            <w:pPr>
              <w:jc w:val="center"/>
            </w:pPr>
            <w:r>
              <w:rPr>
                <w:sz w:val="18"/>
                <w:szCs w:val="18"/>
              </w:rPr>
              <w:t>17.67</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FA70C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AC682E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C989942" w14:textId="77777777" w:rsidR="00F079D9" w:rsidRDefault="00000000">
            <w:pPr>
              <w:jc w:val="center"/>
            </w:pPr>
            <w:r>
              <w:rPr>
                <w:b/>
                <w:bCs/>
                <w:sz w:val="18"/>
                <w:szCs w:val="18"/>
              </w:rPr>
              <w:t>0.335</w:t>
            </w:r>
          </w:p>
        </w:tc>
      </w:tr>
      <w:tr w:rsidR="00F079D9" w14:paraId="54B8023E"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2C115F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73D23C"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A552229"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F0C5AFB" w14:textId="77777777" w:rsidR="00F079D9" w:rsidRDefault="00000000">
            <w:pPr>
              <w:jc w:val="center"/>
            </w:pPr>
            <w:r>
              <w:rPr>
                <w:sz w:val="18"/>
                <w:szCs w:val="18"/>
              </w:rPr>
              <w:t>−0.854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80B3216" w14:textId="77777777" w:rsidR="00F079D9" w:rsidRDefault="00000000">
            <w:pPr>
              <w:jc w:val="center"/>
            </w:pPr>
            <w:r>
              <w:rPr>
                <w:sz w:val="18"/>
                <w:szCs w:val="18"/>
              </w:rPr>
              <w:t>−2.62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08D6D34" w14:textId="77777777" w:rsidR="00F079D9" w:rsidRDefault="00000000">
            <w:pPr>
              <w:jc w:val="center"/>
            </w:pPr>
            <w:r>
              <w:rPr>
                <w:sz w:val="18"/>
                <w:szCs w:val="18"/>
              </w:rPr>
              <w:t>0.009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CA33D5C"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D75A140" w14:textId="77777777" w:rsidR="00F079D9" w:rsidRDefault="00F079D9">
            <w:pPr>
              <w:jc w:val="center"/>
            </w:pPr>
          </w:p>
        </w:tc>
      </w:tr>
      <w:tr w:rsidR="00F079D9" w14:paraId="5A7E19CA"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23AF73D"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2BBC86"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EC2097"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AB3EBC" w14:textId="77777777" w:rsidR="00F079D9" w:rsidRDefault="00000000">
            <w:pPr>
              <w:jc w:val="center"/>
            </w:pPr>
            <w:r>
              <w:rPr>
                <w:sz w:val="18"/>
                <w:szCs w:val="18"/>
              </w:rPr>
              <w:t>0.359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C929222" w14:textId="77777777" w:rsidR="00F079D9" w:rsidRDefault="00000000">
            <w:pPr>
              <w:jc w:val="center"/>
            </w:pPr>
            <w:r>
              <w:rPr>
                <w:sz w:val="18"/>
                <w:szCs w:val="18"/>
              </w:rPr>
              <w:t>14.86</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FCE20B"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78829C"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F376082" w14:textId="77777777" w:rsidR="00F079D9" w:rsidRDefault="00F079D9">
            <w:pPr>
              <w:jc w:val="center"/>
            </w:pPr>
          </w:p>
        </w:tc>
      </w:tr>
      <w:tr w:rsidR="00F079D9" w14:paraId="2E3498EE"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B04DEC" w14:textId="77777777" w:rsidR="00F079D9" w:rsidRDefault="00000000">
            <w:r>
              <w:rPr>
                <w:b/>
                <w:bCs/>
                <w:sz w:val="18"/>
                <w:szCs w:val="18"/>
              </w:rPr>
              <w:t>FTSE MIB</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0AA3405" w14:textId="77777777" w:rsidR="00F079D9" w:rsidRDefault="00000000">
            <w:pPr>
              <w:jc w:val="center"/>
            </w:pPr>
            <w:r>
              <w:rPr>
                <w:sz w:val="18"/>
                <w:szCs w:val="18"/>
              </w:rPr>
              <w:t>273</w:t>
            </w: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C9A832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EA53E44" w14:textId="77777777" w:rsidR="00F079D9" w:rsidRDefault="00000000">
            <w:pPr>
              <w:jc w:val="center"/>
            </w:pPr>
            <w:r>
              <w:rPr>
                <w:sz w:val="18"/>
                <w:szCs w:val="18"/>
              </w:rPr>
              <w:t>0.418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4526FCC" w14:textId="77777777" w:rsidR="00F079D9" w:rsidRDefault="00000000">
            <w:pPr>
              <w:jc w:val="center"/>
            </w:pPr>
            <w:r>
              <w:rPr>
                <w:sz w:val="18"/>
                <w:szCs w:val="18"/>
              </w:rPr>
              <w:t>9.08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997CEA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FE0E6CB"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02BDB5" w14:textId="77777777" w:rsidR="00F079D9" w:rsidRDefault="00000000">
            <w:pPr>
              <w:jc w:val="center"/>
            </w:pPr>
            <w:r>
              <w:rPr>
                <w:b/>
                <w:bCs/>
                <w:sz w:val="18"/>
                <w:szCs w:val="18"/>
              </w:rPr>
              <w:t>0.441</w:t>
            </w:r>
          </w:p>
        </w:tc>
      </w:tr>
      <w:tr w:rsidR="00F079D9" w14:paraId="3321EF91"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2DBA39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F1F1253"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60EBE69"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EABAE32" w14:textId="77777777" w:rsidR="00F079D9" w:rsidRDefault="00000000">
            <w:pPr>
              <w:jc w:val="center"/>
            </w:pPr>
            <w:r>
              <w:rPr>
                <w:sz w:val="18"/>
                <w:szCs w:val="18"/>
              </w:rPr>
              <w:t>−0.621</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B4664CA" w14:textId="77777777" w:rsidR="00F079D9" w:rsidRDefault="00000000">
            <w:pPr>
              <w:jc w:val="center"/>
            </w:pPr>
            <w:r>
              <w:rPr>
                <w:sz w:val="18"/>
                <w:szCs w:val="18"/>
              </w:rPr>
              <w:t>−0.84</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695952B" w14:textId="77777777" w:rsidR="00F079D9" w:rsidRDefault="00000000">
            <w:pPr>
              <w:jc w:val="center"/>
            </w:pPr>
            <w:r>
              <w:rPr>
                <w:sz w:val="18"/>
                <w:szCs w:val="18"/>
              </w:rPr>
              <w:t>0.402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38848CC" w14:textId="77777777" w:rsidR="00F079D9" w:rsidRDefault="00F079D9">
            <w:pPr>
              <w:jc w:val="center"/>
            </w:pP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E5D7A1A" w14:textId="77777777" w:rsidR="00F079D9" w:rsidRDefault="00F079D9">
            <w:pPr>
              <w:jc w:val="center"/>
            </w:pPr>
          </w:p>
        </w:tc>
      </w:tr>
      <w:tr w:rsidR="00F079D9" w14:paraId="4D89AF76"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7F06964"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D07E165"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25E9EC8"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2FE3640" w14:textId="77777777" w:rsidR="00F079D9" w:rsidRDefault="00000000">
            <w:pPr>
              <w:jc w:val="center"/>
            </w:pPr>
            <w:r>
              <w:rPr>
                <w:sz w:val="18"/>
                <w:szCs w:val="18"/>
              </w:rPr>
              <w:t>0.512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D73F5B0" w14:textId="77777777" w:rsidR="00F079D9" w:rsidRDefault="00000000">
            <w:pPr>
              <w:jc w:val="center"/>
            </w:pPr>
            <w:r>
              <w:rPr>
                <w:sz w:val="18"/>
                <w:szCs w:val="18"/>
              </w:rPr>
              <w:t>9.16</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4A542DF"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30327F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B224A4F" w14:textId="77777777" w:rsidR="00F079D9" w:rsidRDefault="00F079D9">
            <w:pPr>
              <w:jc w:val="center"/>
            </w:pPr>
          </w:p>
        </w:tc>
      </w:tr>
      <w:tr w:rsidR="00F079D9" w14:paraId="266B8B76"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61D17E3" w14:textId="77777777" w:rsidR="00F079D9" w:rsidRDefault="00000000">
            <w:r>
              <w:rPr>
                <w:b/>
                <w:bCs/>
                <w:sz w:val="18"/>
                <w:szCs w:val="18"/>
              </w:rPr>
              <w:t>DAX 40</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52A2706" w14:textId="77777777" w:rsidR="00F079D9" w:rsidRDefault="00000000">
            <w:pPr>
              <w:jc w:val="center"/>
            </w:pPr>
            <w:r>
              <w:rPr>
                <w:sz w:val="18"/>
                <w:szCs w:val="18"/>
              </w:rPr>
              <w:t>274</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27D69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C5F33CB" w14:textId="77777777" w:rsidR="00F079D9" w:rsidRDefault="00000000">
            <w:pPr>
              <w:jc w:val="center"/>
            </w:pPr>
            <w:r>
              <w:rPr>
                <w:sz w:val="18"/>
                <w:szCs w:val="18"/>
              </w:rPr>
              <w:t>0.311</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52D8A5" w14:textId="77777777" w:rsidR="00F079D9" w:rsidRDefault="00000000">
            <w:pPr>
              <w:jc w:val="center"/>
            </w:pPr>
            <w:r>
              <w:rPr>
                <w:sz w:val="18"/>
                <w:szCs w:val="18"/>
              </w:rPr>
              <w:t>9.25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4E3358"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714851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943BB0C" w14:textId="77777777" w:rsidR="00F079D9" w:rsidRDefault="00000000">
            <w:pPr>
              <w:jc w:val="center"/>
            </w:pPr>
            <w:r>
              <w:rPr>
                <w:b/>
                <w:bCs/>
                <w:sz w:val="18"/>
                <w:szCs w:val="18"/>
              </w:rPr>
              <w:t>0.312</w:t>
            </w:r>
          </w:p>
        </w:tc>
      </w:tr>
      <w:tr w:rsidR="00F079D9" w14:paraId="46156084"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D1E804"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BE9322"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31F433C"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163445D" w14:textId="77777777" w:rsidR="00F079D9" w:rsidRDefault="00000000">
            <w:pPr>
              <w:jc w:val="center"/>
            </w:pPr>
            <w:r>
              <w:rPr>
                <w:sz w:val="18"/>
                <w:szCs w:val="18"/>
              </w:rPr>
              <w:t>−1.364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8428F63" w14:textId="77777777" w:rsidR="00F079D9" w:rsidRDefault="00000000">
            <w:pPr>
              <w:jc w:val="center"/>
            </w:pPr>
            <w:r>
              <w:rPr>
                <w:sz w:val="18"/>
                <w:szCs w:val="18"/>
              </w:rPr>
              <w:t>−1.72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C837625" w14:textId="77777777" w:rsidR="00F079D9" w:rsidRDefault="00000000">
            <w:pPr>
              <w:jc w:val="center"/>
            </w:pPr>
            <w:r>
              <w:rPr>
                <w:sz w:val="18"/>
                <w:szCs w:val="18"/>
              </w:rPr>
              <w:t>0.086</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A58579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24EFEF" w14:textId="77777777" w:rsidR="00F079D9" w:rsidRDefault="00F079D9">
            <w:pPr>
              <w:jc w:val="center"/>
            </w:pPr>
          </w:p>
        </w:tc>
      </w:tr>
      <w:tr w:rsidR="00F079D9" w14:paraId="2C09EBC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2486BD"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D51D1E2"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6EDA10C"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54809F2" w14:textId="77777777" w:rsidR="00F079D9" w:rsidRDefault="00000000">
            <w:pPr>
              <w:jc w:val="center"/>
            </w:pPr>
            <w:r>
              <w:rPr>
                <w:sz w:val="18"/>
                <w:szCs w:val="18"/>
              </w:rPr>
              <w:t>0.335</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7B278C9" w14:textId="77777777" w:rsidR="00F079D9" w:rsidRDefault="00000000">
            <w:pPr>
              <w:jc w:val="center"/>
            </w:pPr>
            <w:r>
              <w:rPr>
                <w:sz w:val="18"/>
                <w:szCs w:val="18"/>
              </w:rPr>
              <w:t>7.53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4D071C4"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BA92F44"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64870CFB" w14:textId="77777777" w:rsidR="00F079D9" w:rsidRDefault="00F079D9">
            <w:pPr>
              <w:jc w:val="center"/>
            </w:pPr>
          </w:p>
        </w:tc>
      </w:tr>
      <w:tr w:rsidR="00F079D9" w14:paraId="694D837D"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3A5F42D" w14:textId="77777777" w:rsidR="00F079D9" w:rsidRDefault="00000000">
            <w:r>
              <w:rPr>
                <w:b/>
                <w:bCs/>
                <w:sz w:val="18"/>
                <w:szCs w:val="18"/>
              </w:rPr>
              <w:t>CAC 40</w:t>
            </w:r>
          </w:p>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0952A80" w14:textId="77777777" w:rsidR="00F079D9" w:rsidRDefault="00000000">
            <w:pPr>
              <w:jc w:val="center"/>
            </w:pPr>
            <w:r>
              <w:rPr>
                <w:sz w:val="18"/>
                <w:szCs w:val="18"/>
              </w:rPr>
              <w:t>271</w:t>
            </w: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8C6DA1"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756A05E" w14:textId="77777777" w:rsidR="00F079D9" w:rsidRDefault="00000000">
            <w:pPr>
              <w:jc w:val="center"/>
            </w:pPr>
            <w:r>
              <w:rPr>
                <w:sz w:val="18"/>
                <w:szCs w:val="18"/>
              </w:rPr>
              <w:t>0.382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2152F8B0" w14:textId="77777777" w:rsidR="00F079D9" w:rsidRDefault="00000000">
            <w:pPr>
              <w:jc w:val="center"/>
            </w:pPr>
            <w:r>
              <w:rPr>
                <w:sz w:val="18"/>
                <w:szCs w:val="18"/>
              </w:rPr>
              <w:t>8.78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71B36CE"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A123F8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91BC47B" w14:textId="77777777" w:rsidR="00F079D9" w:rsidRDefault="00000000">
            <w:pPr>
              <w:jc w:val="center"/>
            </w:pPr>
            <w:r>
              <w:rPr>
                <w:b/>
                <w:bCs/>
                <w:sz w:val="18"/>
                <w:szCs w:val="18"/>
              </w:rPr>
              <w:t>0.306</w:t>
            </w:r>
          </w:p>
        </w:tc>
      </w:tr>
      <w:tr w:rsidR="00F079D9" w14:paraId="35FEFA52"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DBA465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E28B7EA"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247D14"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1DF1F6A" w14:textId="77777777" w:rsidR="00F079D9" w:rsidRDefault="00000000">
            <w:pPr>
              <w:jc w:val="center"/>
            </w:pPr>
            <w:r>
              <w:rPr>
                <w:sz w:val="18"/>
                <w:szCs w:val="18"/>
              </w:rPr>
              <w:t>0.418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7C4F35C" w14:textId="77777777" w:rsidR="00F079D9" w:rsidRDefault="00000000">
            <w:pPr>
              <w:jc w:val="center"/>
            </w:pPr>
            <w:r>
              <w:rPr>
                <w:sz w:val="18"/>
                <w:szCs w:val="18"/>
              </w:rPr>
              <w:t>0.63</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9B8DFB3" w14:textId="77777777" w:rsidR="00F079D9" w:rsidRDefault="00000000">
            <w:pPr>
              <w:jc w:val="center"/>
            </w:pPr>
            <w:r>
              <w:rPr>
                <w:sz w:val="18"/>
                <w:szCs w:val="18"/>
              </w:rPr>
              <w:t>0.527</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46A903F" w14:textId="77777777" w:rsidR="00F079D9" w:rsidRDefault="00F079D9">
            <w:pPr>
              <w:jc w:val="center"/>
            </w:pP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672C9FE5" w14:textId="77777777" w:rsidR="00F079D9" w:rsidRDefault="00F079D9">
            <w:pPr>
              <w:jc w:val="center"/>
            </w:pPr>
          </w:p>
        </w:tc>
      </w:tr>
      <w:tr w:rsidR="00F079D9" w14:paraId="6A144C8C" w14:textId="77777777">
        <w:tc>
          <w:tcPr>
            <w:tcW w:w="15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11D5E55F"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CD2F39"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3B998303"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0B43D3BF" w14:textId="77777777" w:rsidR="00F079D9" w:rsidRDefault="00000000">
            <w:pPr>
              <w:jc w:val="center"/>
            </w:pPr>
            <w:r>
              <w:rPr>
                <w:sz w:val="18"/>
                <w:szCs w:val="18"/>
              </w:rPr>
              <w:t>0.312</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441F0F11" w14:textId="77777777" w:rsidR="00F079D9" w:rsidRDefault="00000000">
            <w:pPr>
              <w:jc w:val="center"/>
            </w:pPr>
            <w:r>
              <w:rPr>
                <w:sz w:val="18"/>
                <w:szCs w:val="18"/>
              </w:rPr>
              <w:t>6.38</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7691E05B"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558F373"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shd w:val="clear" w:color="auto" w:fill="E8EDF3"/>
            <w:tcMar>
              <w:top w:w="60" w:type="dxa"/>
              <w:left w:w="100" w:type="dxa"/>
              <w:bottom w:w="60" w:type="dxa"/>
              <w:right w:w="100" w:type="dxa"/>
            </w:tcMar>
            <w:vAlign w:val="center"/>
          </w:tcPr>
          <w:p w14:paraId="50806E4C" w14:textId="77777777" w:rsidR="00F079D9" w:rsidRDefault="00F079D9">
            <w:pPr>
              <w:jc w:val="center"/>
            </w:pPr>
          </w:p>
        </w:tc>
      </w:tr>
      <w:tr w:rsidR="00F079D9" w14:paraId="1B583268"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7C98920" w14:textId="77777777" w:rsidR="00F079D9" w:rsidRDefault="00000000">
            <w:r>
              <w:rPr>
                <w:b/>
                <w:bCs/>
                <w:sz w:val="18"/>
                <w:szCs w:val="18"/>
              </w:rPr>
              <w:t>IBEX 35</w:t>
            </w:r>
          </w:p>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99E6A89" w14:textId="77777777" w:rsidR="00F079D9" w:rsidRDefault="00000000">
            <w:pPr>
              <w:jc w:val="center"/>
            </w:pPr>
            <w:r>
              <w:rPr>
                <w:sz w:val="18"/>
                <w:szCs w:val="18"/>
              </w:rPr>
              <w:t>218</w:t>
            </w: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D6A08C6" w14:textId="77777777" w:rsidR="00F079D9" w:rsidRDefault="00000000">
            <w:r>
              <w:rPr>
                <w:sz w:val="18"/>
                <w:szCs w:val="18"/>
              </w:rPr>
              <w:t>NI Growth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7DF6945" w14:textId="77777777" w:rsidR="00F079D9" w:rsidRDefault="00000000">
            <w:pPr>
              <w:jc w:val="center"/>
            </w:pPr>
            <w:r>
              <w:rPr>
                <w:sz w:val="18"/>
                <w:szCs w:val="18"/>
              </w:rPr>
              <w:t>0.324</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50D677FF" w14:textId="77777777" w:rsidR="00F079D9" w:rsidRDefault="00000000">
            <w:pPr>
              <w:jc w:val="center"/>
            </w:pPr>
            <w:r>
              <w:rPr>
                <w:sz w:val="18"/>
                <w:szCs w:val="18"/>
              </w:rPr>
              <w:t>9.22</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EC65C42"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ACE3C06"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4E1892C" w14:textId="77777777" w:rsidR="00F079D9" w:rsidRDefault="00000000">
            <w:pPr>
              <w:jc w:val="center"/>
            </w:pPr>
            <w:r>
              <w:rPr>
                <w:b/>
                <w:bCs/>
                <w:sz w:val="18"/>
                <w:szCs w:val="18"/>
              </w:rPr>
              <w:t>0.356</w:t>
            </w:r>
          </w:p>
        </w:tc>
      </w:tr>
      <w:tr w:rsidR="00F079D9" w14:paraId="1CB391DC"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19275F5"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AC3F7FF"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B0DA9C3" w14:textId="77777777" w:rsidR="00F079D9" w:rsidRDefault="00000000">
            <w:r>
              <w:rPr>
                <w:sz w:val="18"/>
                <w:szCs w:val="18"/>
              </w:rPr>
              <w:t>Share Count Change (%)</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365330" w14:textId="77777777" w:rsidR="00F079D9" w:rsidRDefault="00000000">
            <w:pPr>
              <w:jc w:val="center"/>
            </w:pPr>
            <w:r>
              <w:rPr>
                <w:sz w:val="18"/>
                <w:szCs w:val="18"/>
              </w:rPr>
              <w:t>−1.149</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1D223EDE" w14:textId="77777777" w:rsidR="00F079D9" w:rsidRDefault="00000000">
            <w:pPr>
              <w:jc w:val="center"/>
            </w:pPr>
            <w:r>
              <w:rPr>
                <w:sz w:val="18"/>
                <w:szCs w:val="18"/>
              </w:rPr>
              <w:t>−2.28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45D289D0" w14:textId="77777777" w:rsidR="00F079D9" w:rsidRDefault="00000000">
            <w:pPr>
              <w:jc w:val="center"/>
            </w:pPr>
            <w:r>
              <w:rPr>
                <w:sz w:val="18"/>
                <w:szCs w:val="18"/>
              </w:rPr>
              <w:t>0.023</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8FDCF1F"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BFFBAF0" w14:textId="77777777" w:rsidR="00F079D9" w:rsidRDefault="00F079D9">
            <w:pPr>
              <w:jc w:val="center"/>
            </w:pPr>
          </w:p>
        </w:tc>
      </w:tr>
      <w:tr w:rsidR="00F079D9" w14:paraId="58F95C80" w14:textId="77777777">
        <w:tc>
          <w:tcPr>
            <w:tcW w:w="15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2FEF6463" w14:textId="77777777" w:rsidR="00F079D9" w:rsidRDefault="00F079D9"/>
        </w:tc>
        <w:tc>
          <w:tcPr>
            <w:tcW w:w="6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DEAFE0A" w14:textId="77777777" w:rsidR="00F079D9" w:rsidRDefault="00F079D9">
            <w:pPr>
              <w:jc w:val="center"/>
            </w:pPr>
          </w:p>
        </w:tc>
        <w:tc>
          <w:tcPr>
            <w:tcW w:w="17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B207178" w14:textId="77777777" w:rsidR="00F079D9" w:rsidRDefault="00000000">
            <w:r>
              <w:rPr>
                <w:sz w:val="18"/>
                <w:szCs w:val="18"/>
              </w:rPr>
              <w:t>PE Change</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6ADC608" w14:textId="77777777" w:rsidR="00F079D9" w:rsidRDefault="00000000">
            <w:pPr>
              <w:jc w:val="center"/>
            </w:pPr>
            <w:r>
              <w:rPr>
                <w:sz w:val="18"/>
                <w:szCs w:val="18"/>
              </w:rPr>
              <w:t>0.320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3931F04" w14:textId="77777777" w:rsidR="00F079D9" w:rsidRDefault="00000000">
            <w:pPr>
              <w:jc w:val="center"/>
            </w:pPr>
            <w:r>
              <w:rPr>
                <w:sz w:val="18"/>
                <w:szCs w:val="18"/>
              </w:rPr>
              <w:t>7.68</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3E19848A" w14:textId="77777777" w:rsidR="00F079D9" w:rsidRDefault="00000000">
            <w:pPr>
              <w:jc w:val="center"/>
            </w:pPr>
            <w:r>
              <w:rPr>
                <w:sz w:val="18"/>
                <w:szCs w:val="18"/>
              </w:rPr>
              <w:t>0.000</w:t>
            </w:r>
          </w:p>
        </w:tc>
        <w:tc>
          <w:tcPr>
            <w:tcW w:w="90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73FE82CA" w14:textId="77777777" w:rsidR="00F079D9" w:rsidRDefault="00000000">
            <w:pPr>
              <w:jc w:val="center"/>
            </w:pPr>
            <w:r>
              <w:rPr>
                <w:b/>
                <w:bCs/>
                <w:color w:val="1F4E79"/>
                <w:sz w:val="18"/>
                <w:szCs w:val="18"/>
              </w:rPr>
              <w:t>***</w:t>
            </w:r>
          </w:p>
        </w:tc>
        <w:tc>
          <w:tcPr>
            <w:tcW w:w="960" w:type="dxa"/>
            <w:tcBorders>
              <w:top w:val="single" w:sz="1" w:space="0" w:color="CCCCCC"/>
              <w:left w:val="single" w:sz="1" w:space="0" w:color="CCCCCC"/>
              <w:bottom w:val="single" w:sz="1" w:space="0" w:color="CCCCCC"/>
              <w:right w:val="single" w:sz="1" w:space="0" w:color="CCCCCC"/>
            </w:tcBorders>
            <w:tcMar>
              <w:top w:w="60" w:type="dxa"/>
              <w:left w:w="100" w:type="dxa"/>
              <w:bottom w:w="60" w:type="dxa"/>
              <w:right w:w="100" w:type="dxa"/>
            </w:tcMar>
            <w:vAlign w:val="center"/>
          </w:tcPr>
          <w:p w14:paraId="05EC655D" w14:textId="77777777" w:rsidR="00F079D9" w:rsidRDefault="00F079D9">
            <w:pPr>
              <w:jc w:val="center"/>
            </w:pPr>
          </w:p>
        </w:tc>
      </w:tr>
    </w:tbl>
    <w:p w14:paraId="715E91C8" w14:textId="77777777" w:rsidR="00F079D9" w:rsidRDefault="00000000">
      <w:pPr>
        <w:spacing w:before="80" w:after="200" w:line="276" w:lineRule="auto"/>
      </w:pPr>
      <w:r>
        <w:rPr>
          <w:i/>
          <w:iCs/>
          <w:color w:val="555555"/>
          <w:sz w:val="18"/>
          <w:szCs w:val="18"/>
        </w:rPr>
        <w:t>Significance: *** p &lt; 0.01, ** p &lt; 0.05, * p &lt; 0.10. All models use HC1 robust standard errors.</w:t>
      </w:r>
    </w:p>
    <w:p w14:paraId="540BAC74" w14:textId="77777777" w:rsidR="00F079D9" w:rsidRDefault="00000000">
      <w:pPr>
        <w:spacing w:after="160" w:line="276" w:lineRule="auto"/>
      </w:pPr>
      <w:r>
        <w:t>The buyback coefficient is significant in Spain (p = 0.02) and marginally in Germany (p = 0.09), but insignificant in Italy (p = 0.40) and France (p = 0.53). This is an interesting pattern: Italy and Spain have more buyback years (46–47% of observations) than Germany (31%), yet the market only rewards buybacks in Spain and Germany.</w:t>
      </w:r>
    </w:p>
    <w:p w14:paraId="5EE3AF49" w14:textId="77777777" w:rsidR="00F079D9" w:rsidRDefault="00000000">
      <w:pPr>
        <w:spacing w:after="160" w:line="276" w:lineRule="auto"/>
      </w:pPr>
      <w:r>
        <w:t>One interpretation: in Germany, buybacks are less frequent but more deliberate and larger when they happen, sending a stronger signal. In Italy and France, buybacks are more common but smaller, blending into the noise.</w:t>
      </w:r>
    </w:p>
    <w:p w14:paraId="5FC878DB" w14:textId="77777777" w:rsidR="00F079D9" w:rsidRDefault="00000000">
      <w:pPr>
        <w:pStyle w:val="Heading1"/>
        <w:spacing w:before="0" w:after="160" w:line="276" w:lineRule="auto"/>
      </w:pPr>
      <w:r>
        <w:rPr>
          <w:sz w:val="22"/>
          <w:szCs w:val="22"/>
        </w:rPr>
        <w:t>What This Means</w:t>
      </w:r>
    </w:p>
    <w:p w14:paraId="28D154A2" w14:textId="77777777" w:rsidR="00F079D9" w:rsidRDefault="00000000">
      <w:pPr>
        <w:spacing w:after="160" w:line="276" w:lineRule="auto"/>
      </w:pPr>
      <w:r>
        <w:t>The short answer to our original question is: no, buybacks do not meaningfully explain European stock returns better than earnings growth. The two are essentially interchangeable in Models 1 and 2 because buybacks contribute so little to EPS growth in the first place.</w:t>
      </w:r>
    </w:p>
    <w:p w14:paraId="01A893FC" w14:textId="77777777" w:rsidR="00F079D9" w:rsidRDefault="00000000">
      <w:pPr>
        <w:spacing w:after="160" w:line="276" w:lineRule="auto"/>
      </w:pPr>
      <w:r>
        <w:t>The longer answer is more interesting. Buybacks do have a small independent effect on returns — but only after controlling for P/E changes, and only in certain markets. The dominant driver of annual returns is not earnings growth of any kind; it is the expansion or compression of valuations. A company whose P/E ratio rises from 12x to 15x will outperform regardless of whether its EPS grew through higher profits or fewer shares.</w:t>
      </w:r>
    </w:p>
    <w:p w14:paraId="3B41E8D0" w14:textId="77777777" w:rsidR="00F079D9" w:rsidRDefault="00000000">
      <w:pPr>
        <w:spacing w:after="160" w:line="276" w:lineRule="auto"/>
      </w:pPr>
      <w:r>
        <w:t>For investors, the practical implication is that European buyback announcements, unlike their American counterparts, are not a reliable return signal. The European buyback market is still too small and too inconsistent to generate the systematic per-share wealth effects seen in the US. What matters far more is whether the market is willing to re-rate the stock — and that is driven by factors well beyond earnings arithmetic.</w:t>
      </w:r>
    </w:p>
    <w:p w14:paraId="6A8D4B3A" w14:textId="77777777" w:rsidR="00F079D9" w:rsidRDefault="00000000">
      <w:pPr>
        <w:pStyle w:val="Heading2"/>
        <w:spacing w:before="0" w:after="160" w:line="276" w:lineRule="auto"/>
      </w:pPr>
      <w:r>
        <w:rPr>
          <w:sz w:val="22"/>
          <w:szCs w:val="22"/>
        </w:rPr>
        <w:t>Methodology Note</w:t>
      </w:r>
    </w:p>
    <w:p w14:paraId="498BE94E" w14:textId="77777777" w:rsidR="00F079D9" w:rsidRDefault="00000000">
      <w:pPr>
        <w:spacing w:after="160" w:line="276" w:lineRule="auto"/>
      </w:pPr>
      <w:r>
        <w:rPr>
          <w:b/>
          <w:bCs/>
        </w:rPr>
        <w:t xml:space="preserve">Limitations: </w:t>
      </w:r>
      <w:r>
        <w:t>The sample uses current index constituents traced back to 2015, introducing survivorship bias. Returns are price-only (excluding dividends), which understates total returns for high-dividend sectors. P/E ratios below zero or above 200 were excluded, removing loss-making company-years. Share count change captures net buybacks (repurchases minus new issuance), not gross buyback expenditure.</w:t>
      </w:r>
    </w:p>
    <w:p w14:paraId="17822B22" w14:textId="6837AF85" w:rsidR="00F079D9" w:rsidRDefault="00000000">
      <w:pPr>
        <w:spacing w:after="160" w:line="276" w:lineRule="auto"/>
      </w:pPr>
      <w:r>
        <w:rPr>
          <w:b/>
          <w:bCs/>
        </w:rPr>
        <w:t xml:space="preserve">Data sources: </w:t>
      </w:r>
      <w:r>
        <w:t>Net income, weighted average shares outstanding,</w:t>
      </w:r>
      <w:r w:rsidR="00B93BA8">
        <w:t xml:space="preserve"> stock prices</w:t>
      </w:r>
      <w:r>
        <w:t xml:space="preserve"> and market </w:t>
      </w:r>
      <w:r w:rsidR="00B93BA8">
        <w:t>capitalization</w:t>
      </w:r>
      <w:r>
        <w:t xml:space="preserve"> from Wisesheets (company filings).</w:t>
      </w:r>
    </w:p>
    <w:sectPr w:rsidR="00F079D9">
      <w:headerReference w:type="default" r:id="rId7"/>
      <w:footerReference w:type="default" r:id="rId8"/>
      <w:pgSz w:w="12240" w:h="15840"/>
      <w:pgMar w:top="1440" w:right="1440" w:bottom="1200" w:left="144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84A62E" w14:textId="77777777" w:rsidR="00C9362C" w:rsidRDefault="00C9362C">
      <w:r>
        <w:separator/>
      </w:r>
    </w:p>
  </w:endnote>
  <w:endnote w:type="continuationSeparator" w:id="0">
    <w:p w14:paraId="7580E005" w14:textId="77777777" w:rsidR="00C9362C" w:rsidRDefault="00C9362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449ADE" w14:textId="77777777" w:rsidR="00F079D9" w:rsidRDefault="00000000">
    <w:pPr>
      <w:pBdr>
        <w:top w:val="single" w:sz="4" w:space="4" w:color="2E75B6"/>
      </w:pBdr>
      <w:jc w:val="center"/>
    </w:pPr>
    <w:r>
      <w:rPr>
        <w:color w:val="555555"/>
        <w:sz w:val="16"/>
        <w:szCs w:val="16"/>
      </w:rPr>
      <w:t xml:space="preserve">Do Buybacks Explain European Stock Returns?  |  Page </w:t>
    </w:r>
    <w:r>
      <w:rPr>
        <w:color w:val="555555"/>
        <w:sz w:val="16"/>
        <w:szCs w:val="16"/>
      </w:rPr>
      <w:fldChar w:fldCharType="begin"/>
    </w:r>
    <w:r>
      <w:rPr>
        <w:color w:val="555555"/>
        <w:sz w:val="16"/>
        <w:szCs w:val="16"/>
      </w:rPr>
      <w:instrText>PAGE</w:instrText>
    </w:r>
    <w:r>
      <w:rPr>
        <w:color w:val="555555"/>
        <w:sz w:val="16"/>
        <w:szCs w:val="16"/>
      </w:rPr>
      <w:fldChar w:fldCharType="separate"/>
    </w:r>
    <w:r>
      <w:rPr>
        <w:color w:val="555555"/>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3097A3B" w14:textId="77777777" w:rsidR="00C9362C" w:rsidRDefault="00C9362C">
      <w:r>
        <w:separator/>
      </w:r>
    </w:p>
  </w:footnote>
  <w:footnote w:type="continuationSeparator" w:id="0">
    <w:p w14:paraId="72511FA2" w14:textId="77777777" w:rsidR="00C9362C" w:rsidRDefault="00C9362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6210C7" w14:textId="77777777" w:rsidR="00F079D9" w:rsidRDefault="00000000">
    <w:pPr>
      <w:pBdr>
        <w:bottom w:val="single" w:sz="4" w:space="4" w:color="2E75B6"/>
      </w:pBdr>
      <w:jc w:val="right"/>
    </w:pPr>
    <w:r>
      <w:rPr>
        <w:i/>
        <w:iCs/>
        <w:color w:val="555555"/>
        <w:sz w:val="16"/>
        <w:szCs w:val="16"/>
      </w:rPr>
      <w:t>Research Note</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5600848"/>
    <w:multiLevelType w:val="hybridMultilevel"/>
    <w:tmpl w:val="377E4632"/>
    <w:lvl w:ilvl="0" w:tplc="6470A42E">
      <w:start w:val="1"/>
      <w:numFmt w:val="bullet"/>
      <w:lvlText w:val="●"/>
      <w:lvlJc w:val="left"/>
      <w:pPr>
        <w:ind w:left="720" w:hanging="360"/>
      </w:pPr>
    </w:lvl>
    <w:lvl w:ilvl="1" w:tplc="0CE895D2">
      <w:start w:val="1"/>
      <w:numFmt w:val="bullet"/>
      <w:lvlText w:val="○"/>
      <w:lvlJc w:val="left"/>
      <w:pPr>
        <w:ind w:left="1440" w:hanging="360"/>
      </w:pPr>
    </w:lvl>
    <w:lvl w:ilvl="2" w:tplc="0308C2AE">
      <w:start w:val="1"/>
      <w:numFmt w:val="bullet"/>
      <w:lvlText w:val="■"/>
      <w:lvlJc w:val="left"/>
      <w:pPr>
        <w:ind w:left="2160" w:hanging="360"/>
      </w:pPr>
    </w:lvl>
    <w:lvl w:ilvl="3" w:tplc="2F66CE8E">
      <w:start w:val="1"/>
      <w:numFmt w:val="bullet"/>
      <w:lvlText w:val="●"/>
      <w:lvlJc w:val="left"/>
      <w:pPr>
        <w:ind w:left="2880" w:hanging="360"/>
      </w:pPr>
    </w:lvl>
    <w:lvl w:ilvl="4" w:tplc="A29A740C">
      <w:start w:val="1"/>
      <w:numFmt w:val="bullet"/>
      <w:lvlText w:val="○"/>
      <w:lvlJc w:val="left"/>
      <w:pPr>
        <w:ind w:left="3600" w:hanging="360"/>
      </w:pPr>
    </w:lvl>
    <w:lvl w:ilvl="5" w:tplc="4F76EE26">
      <w:start w:val="1"/>
      <w:numFmt w:val="bullet"/>
      <w:lvlText w:val="■"/>
      <w:lvlJc w:val="left"/>
      <w:pPr>
        <w:ind w:left="4320" w:hanging="360"/>
      </w:pPr>
    </w:lvl>
    <w:lvl w:ilvl="6" w:tplc="C95C5A28">
      <w:start w:val="1"/>
      <w:numFmt w:val="bullet"/>
      <w:lvlText w:val="●"/>
      <w:lvlJc w:val="left"/>
      <w:pPr>
        <w:ind w:left="5040" w:hanging="360"/>
      </w:pPr>
    </w:lvl>
    <w:lvl w:ilvl="7" w:tplc="27A082D2">
      <w:start w:val="1"/>
      <w:numFmt w:val="bullet"/>
      <w:lvlText w:val="●"/>
      <w:lvlJc w:val="left"/>
      <w:pPr>
        <w:ind w:left="5760" w:hanging="360"/>
      </w:pPr>
    </w:lvl>
    <w:lvl w:ilvl="8" w:tplc="2528D79E">
      <w:start w:val="1"/>
      <w:numFmt w:val="bullet"/>
      <w:lvlText w:val="●"/>
      <w:lvlJc w:val="left"/>
      <w:pPr>
        <w:ind w:left="6480" w:hanging="360"/>
      </w:pPr>
    </w:lvl>
  </w:abstractNum>
  <w:num w:numId="1" w16cid:durableId="361833097">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8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079D9"/>
    <w:rsid w:val="00687A7E"/>
    <w:rsid w:val="00B44A1D"/>
    <w:rsid w:val="00B93BA8"/>
    <w:rsid w:val="00BB6B8E"/>
    <w:rsid w:val="00C91073"/>
    <w:rsid w:val="00C9362C"/>
    <w:rsid w:val="00D14C7A"/>
    <w:rsid w:val="00F079D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5D8BAD6"/>
  <w15:docId w15:val="{C0E75B10-1CCC-484B-8DDD-C6D9179D04D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spacing w:before="120" w:after="200"/>
      <w:outlineLvl w:val="0"/>
    </w:pPr>
    <w:rPr>
      <w:b/>
      <w:bCs/>
      <w:color w:val="1F4E79"/>
      <w:sz w:val="36"/>
      <w:szCs w:val="36"/>
    </w:rPr>
  </w:style>
  <w:style w:type="paragraph" w:styleId="Heading2">
    <w:name w:val="heading 2"/>
    <w:uiPriority w:val="9"/>
    <w:unhideWhenUsed/>
    <w:qFormat/>
    <w:pPr>
      <w:spacing w:before="240" w:after="120"/>
      <w:outlineLvl w:val="1"/>
    </w:pPr>
    <w:rPr>
      <w:b/>
      <w:bCs/>
      <w:color w:val="1F4E79"/>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14</TotalTime>
  <Pages>1</Pages>
  <Words>1169</Words>
  <Characters>6666</Characters>
  <Application>Microsoft Office Word</Application>
  <DocSecurity>0</DocSecurity>
  <Lines>55</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7820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Riccardo Ceccaroni</cp:lastModifiedBy>
  <cp:revision>3</cp:revision>
  <dcterms:created xsi:type="dcterms:W3CDTF">2026-03-17T11:14:00Z</dcterms:created>
  <dcterms:modified xsi:type="dcterms:W3CDTF">2026-03-17T11:32:00Z</dcterms:modified>
</cp:coreProperties>
</file>