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EF57" w14:textId="77777777" w:rsidR="00750074" w:rsidRPr="00750074" w:rsidRDefault="00750074" w:rsidP="00750074">
      <w:pPr>
        <w:rPr>
          <w:color w:val="FF0000"/>
          <w:sz w:val="36"/>
          <w:szCs w:val="36"/>
        </w:rPr>
      </w:pPr>
      <w:r w:rsidRPr="00750074">
        <w:rPr>
          <w:color w:val="FF0000"/>
          <w:sz w:val="36"/>
          <w:szCs w:val="36"/>
        </w:rPr>
        <w:t>Do Buybacks Explain European Stock Returns Better Than Earnings Growth?</w:t>
      </w:r>
    </w:p>
    <w:p w14:paraId="30AAC8CB" w14:textId="77777777" w:rsidR="00750074" w:rsidRPr="00750074" w:rsidRDefault="00750074" w:rsidP="00750074">
      <w:pPr>
        <w:rPr>
          <w:b/>
          <w:bCs/>
          <w:sz w:val="32"/>
          <w:szCs w:val="32"/>
        </w:rPr>
      </w:pPr>
      <w:r w:rsidRPr="00750074">
        <w:rPr>
          <w:b/>
          <w:bCs/>
          <w:sz w:val="32"/>
          <w:szCs w:val="32"/>
        </w:rPr>
        <w:t>Initial question</w:t>
      </w:r>
    </w:p>
    <w:p w14:paraId="22E5CFD7" w14:textId="77777777" w:rsidR="00750074" w:rsidRPr="00750074" w:rsidRDefault="00750074" w:rsidP="00750074">
      <w:r w:rsidRPr="00750074">
        <w:t xml:space="preserve">When a company buys back its own shares, the number of shares outstanding goes down. That means earnings per share </w:t>
      </w:r>
      <w:proofErr w:type="gramStart"/>
      <w:r w:rsidRPr="00750074">
        <w:t>goes</w:t>
      </w:r>
      <w:proofErr w:type="gramEnd"/>
      <w:r w:rsidRPr="00750074">
        <w:t xml:space="preserve"> up even if net income stays flat, as the same profit is now divided among fewer shares. Since investors and analysts evaluate companies largely on EPS and EPS growth, buybacks can make a company look more profitable than it </w:t>
      </w:r>
      <w:proofErr w:type="gramStart"/>
      <w:r w:rsidRPr="00750074">
        <w:t>actually became</w:t>
      </w:r>
      <w:proofErr w:type="gramEnd"/>
      <w:r w:rsidRPr="00750074">
        <w:t>.</w:t>
      </w:r>
    </w:p>
    <w:p w14:paraId="65633881" w14:textId="77777777" w:rsidR="00750074" w:rsidRPr="00750074" w:rsidRDefault="00750074" w:rsidP="00750074">
      <w:r w:rsidRPr="00750074">
        <w:t>This raises a question: does the market reward this kind of financial engineering the same way it rewards genuine profit growth? And if it does, how much of what we call “</w:t>
      </w:r>
      <w:r w:rsidRPr="00750074">
        <w:rPr>
          <w:i/>
          <w:iCs/>
        </w:rPr>
        <w:t>EPS growth</w:t>
      </w:r>
      <w:r w:rsidRPr="00750074">
        <w:t>” in European markets is real, and how much is not?</w:t>
      </w:r>
    </w:p>
    <w:p w14:paraId="2A7B9F0E" w14:textId="77777777" w:rsidR="00750074" w:rsidRPr="00750074" w:rsidRDefault="00750074" w:rsidP="00750074">
      <w:pPr>
        <w:rPr>
          <w:b/>
          <w:bCs/>
          <w:sz w:val="32"/>
          <w:szCs w:val="32"/>
        </w:rPr>
      </w:pPr>
      <w:r w:rsidRPr="00750074">
        <w:rPr>
          <w:b/>
          <w:bCs/>
          <w:sz w:val="32"/>
          <w:szCs w:val="32"/>
        </w:rPr>
        <w:t>What We Studied</w:t>
      </w:r>
    </w:p>
    <w:p w14:paraId="6391AF08" w14:textId="77777777" w:rsidR="00750074" w:rsidRPr="00750074" w:rsidRDefault="00750074" w:rsidP="00750074">
      <w:r w:rsidRPr="00750074">
        <w:t>We examined 140 companies across four major European indexes over the period 2015–2024: the FTSE MIB (36 companies, Italy), DAX 40 (38, Germany), CAC 40 (35, France), and IBEX 35 (31, Spain). Two companies, Stellantis and STMicroelectronics, appear in both the FTSE MIB and CAC 40; we included each once to avoid double counting.</w:t>
      </w:r>
    </w:p>
    <w:p w14:paraId="66F4A2AA" w14:textId="77777777" w:rsidR="00750074" w:rsidRPr="00750074" w:rsidRDefault="00750074" w:rsidP="00750074">
      <w:r w:rsidRPr="00750074">
        <w:t xml:space="preserve">For each </w:t>
      </w:r>
      <w:proofErr w:type="gramStart"/>
      <w:r w:rsidRPr="00750074">
        <w:t>company-year</w:t>
      </w:r>
      <w:proofErr w:type="gramEnd"/>
      <w:r w:rsidRPr="00750074">
        <w:t xml:space="preserve">, we collected annual net income, stock prices, weighted average shares outstanding, and year-end market </w:t>
      </w:r>
      <w:proofErr w:type="spellStart"/>
      <w:r w:rsidRPr="00750074">
        <w:t>capitalisation</w:t>
      </w:r>
      <w:proofErr w:type="spellEnd"/>
      <w:r w:rsidRPr="00750074">
        <w:t xml:space="preserve"> from company filings via </w:t>
      </w:r>
      <w:proofErr w:type="spellStart"/>
      <w:r w:rsidRPr="00750074">
        <w:t>Wisesheets</w:t>
      </w:r>
      <w:proofErr w:type="spellEnd"/>
      <w:r w:rsidRPr="00750074">
        <w:t>. From these, we derived EPS, EPS growth, net income growth, share count change, and annual stock returns.</w:t>
      </w:r>
    </w:p>
    <w:p w14:paraId="52114F04" w14:textId="77777777" w:rsidR="00750074" w:rsidRPr="00750074" w:rsidRDefault="00750074" w:rsidP="00750074">
      <w:r w:rsidRPr="00750074">
        <w:t xml:space="preserve">After filtering out company-years with missing data and </w:t>
      </w:r>
      <w:proofErr w:type="spellStart"/>
      <w:r w:rsidRPr="00750074">
        <w:t>winsorizing</w:t>
      </w:r>
      <w:proofErr w:type="spellEnd"/>
      <w:r w:rsidRPr="00750074">
        <w:t xml:space="preserve"> all variables at the 5th and 95th percentiles, we were left with 1,036 observations from 2016–2024.</w:t>
      </w:r>
    </w:p>
    <w:p w14:paraId="7D111E92" w14:textId="77777777" w:rsidR="00750074" w:rsidRPr="00750074" w:rsidRDefault="00750074" w:rsidP="00750074">
      <w:pPr>
        <w:rPr>
          <w:b/>
          <w:bCs/>
          <w:sz w:val="32"/>
          <w:szCs w:val="32"/>
        </w:rPr>
      </w:pPr>
      <w:r w:rsidRPr="00750074">
        <w:rPr>
          <w:b/>
          <w:bCs/>
          <w:sz w:val="32"/>
          <w:szCs w:val="32"/>
        </w:rPr>
        <w:t>What We Did</w:t>
      </w:r>
    </w:p>
    <w:p w14:paraId="14CECA3E" w14:textId="77777777" w:rsidR="00750074" w:rsidRPr="00750074" w:rsidRDefault="00750074" w:rsidP="00750074">
      <w:r w:rsidRPr="00750074">
        <w:t>The analysis had two parts.</w:t>
      </w:r>
    </w:p>
    <w:p w14:paraId="5C316219" w14:textId="77777777" w:rsidR="00750074" w:rsidRPr="00750074" w:rsidRDefault="00750074" w:rsidP="00750074">
      <w:r w:rsidRPr="00750074">
        <w:t>First, we decomposed EPS growth. For each company-year, we split EPS growth into the portion driven by net income change (the “</w:t>
      </w:r>
      <w:r w:rsidRPr="00750074">
        <w:rPr>
          <w:i/>
          <w:iCs/>
        </w:rPr>
        <w:t xml:space="preserve">income </w:t>
      </w:r>
      <w:proofErr w:type="gramStart"/>
      <w:r w:rsidRPr="00750074">
        <w:rPr>
          <w:i/>
          <w:iCs/>
        </w:rPr>
        <w:t>effect</w:t>
      </w:r>
      <w:r w:rsidRPr="00750074">
        <w:t>“</w:t>
      </w:r>
      <w:proofErr w:type="gramEnd"/>
      <w:r w:rsidRPr="00750074">
        <w:t>) and the portion driven by share count reduction (the “</w:t>
      </w:r>
      <w:r w:rsidRPr="00750074">
        <w:rPr>
          <w:i/>
          <w:iCs/>
        </w:rPr>
        <w:t xml:space="preserve">buyback </w:t>
      </w:r>
      <w:proofErr w:type="gramStart"/>
      <w:r w:rsidRPr="00750074">
        <w:rPr>
          <w:i/>
          <w:iCs/>
        </w:rPr>
        <w:t>effect</w:t>
      </w:r>
      <w:r w:rsidRPr="00750074">
        <w:t>“</w:t>
      </w:r>
      <w:proofErr w:type="gramEnd"/>
      <w:r w:rsidRPr="00750074">
        <w:t>). We then aggregated these by index and by year to see which countries and which periods relied more on buybacks to grow EPS.</w:t>
      </w:r>
    </w:p>
    <w:p w14:paraId="6D8D2E0C" w14:textId="77777777" w:rsidR="00750074" w:rsidRPr="00750074" w:rsidRDefault="00750074" w:rsidP="00750074">
      <w:r w:rsidRPr="00750074">
        <w:t>Second, we ran cross-sectional regressions to test whether buybacks add explanatory power beyond earnings. We estimated three OLS models with heteroskedasticity-robust standard errors (HC1), all with annual stock price return as the dependent variable:</w:t>
      </w:r>
    </w:p>
    <w:p w14:paraId="5C2C81D0" w14:textId="77777777" w:rsidR="00750074" w:rsidRPr="00750074" w:rsidRDefault="00750074" w:rsidP="00750074">
      <w:r w:rsidRPr="00750074">
        <w:t>M1: Return ~ NI Growth</w:t>
      </w:r>
      <w:r w:rsidRPr="00750074">
        <w:br/>
        <w:t>M2: Return ~ EPS Growth</w:t>
      </w:r>
      <w:r w:rsidRPr="00750074">
        <w:br/>
        <w:t>M3: Return ~ NI Growth + Share Count Change</w:t>
      </w:r>
    </w:p>
    <w:p w14:paraId="327CE15B" w14:textId="77777777" w:rsidR="00750074" w:rsidRPr="00750074" w:rsidRDefault="00750074" w:rsidP="00750074">
      <w:r w:rsidRPr="00750074">
        <w:lastRenderedPageBreak/>
        <w:t>The logic: M1 and M2 test whether income growth or EPS growth (which bundles in the buyback effect) better predicts returns. M3 asks whether buybacks add explanatory power beyond earnings.</w:t>
      </w:r>
    </w:p>
    <w:p w14:paraId="7BDE1CE6" w14:textId="77777777" w:rsidR="00750074" w:rsidRPr="00750074" w:rsidRDefault="00750074" w:rsidP="00750074">
      <w:r w:rsidRPr="00750074">
        <w:t>We ran all three models on the sample and separately on each of the four indexes.</w:t>
      </w:r>
    </w:p>
    <w:p w14:paraId="13079047" w14:textId="77777777" w:rsidR="00750074" w:rsidRPr="00750074" w:rsidRDefault="00750074" w:rsidP="00750074">
      <w:pPr>
        <w:rPr>
          <w:b/>
          <w:bCs/>
          <w:sz w:val="32"/>
          <w:szCs w:val="32"/>
        </w:rPr>
      </w:pPr>
      <w:r w:rsidRPr="00750074">
        <w:rPr>
          <w:b/>
          <w:bCs/>
          <w:sz w:val="32"/>
          <w:szCs w:val="32"/>
        </w:rPr>
        <w:t>Results</w:t>
      </w:r>
    </w:p>
    <w:p w14:paraId="2436BCDA" w14:textId="77777777" w:rsidR="00750074" w:rsidRPr="00750074" w:rsidRDefault="00750074" w:rsidP="00750074">
      <w:r w:rsidRPr="00750074">
        <w:rPr>
          <w:b/>
          <w:bCs/>
        </w:rPr>
        <w:t>Buybacks barely move European EPS</w:t>
      </w:r>
    </w:p>
    <w:p w14:paraId="62F7AE7E" w14:textId="77777777" w:rsidR="00750074" w:rsidRPr="00750074" w:rsidRDefault="00750074" w:rsidP="00750074">
      <w:r w:rsidRPr="00750074">
        <w:t xml:space="preserve">Across the full sample, the average annual buyback effect on EPS is essentially zero: −0.2%. The income effect averages +28%. In other words, nearly all EPS growth in European markets comes from actual profit growth, not from share count reduction. This </w:t>
      </w:r>
      <w:proofErr w:type="gramStart"/>
      <w:r w:rsidRPr="00750074">
        <w:t>holds</w:t>
      </w:r>
      <w:proofErr w:type="gramEnd"/>
      <w:r w:rsidRPr="00750074">
        <w:t xml:space="preserve"> across all four countries.</w:t>
      </w:r>
    </w:p>
    <w:p w14:paraId="52EDF38F" w14:textId="77777777" w:rsidR="00750074" w:rsidRPr="00750074" w:rsidRDefault="00750074" w:rsidP="00750074">
      <w:r w:rsidRPr="00750074">
        <w:t>About 42% of company years show a net reduction in shares outstanding, but most of these reductions are tiny. Even the most aggressive European repurchasers, like Munich Re, Allianz, Saint-Gobain, only get a 2% annual EPS boost from buybacks.</w:t>
      </w:r>
    </w:p>
    <w:p w14:paraId="0DA5A259" w14:textId="77777777" w:rsidR="00750074" w:rsidRPr="00750074" w:rsidRDefault="00750074" w:rsidP="00750074">
      <w:r w:rsidRPr="00750074">
        <w:rPr>
          <w:b/>
          <w:bCs/>
        </w:rPr>
        <w:t>Earnings growth alone explains little of annual returns</w:t>
      </w:r>
    </w:p>
    <w:p w14:paraId="2651EB4D" w14:textId="77777777" w:rsidR="00750074" w:rsidRPr="00750074" w:rsidRDefault="00750074" w:rsidP="00750074">
      <w:r w:rsidRPr="00750074">
        <w:t>Net income growth on its own produces an R² of only 5–11% depending on the market. EPS growth does essentially no better. Adding share count change to NI growth barely moves the R² at all. In any given year, the link between how much a company’s earnings grew and how much its stock returned is weak.</w:t>
      </w:r>
    </w:p>
    <w:p w14:paraId="2FBCC0F1" w14:textId="77777777" w:rsidR="00750074" w:rsidRPr="00750074" w:rsidRDefault="00750074" w:rsidP="00750074">
      <w:r w:rsidRPr="00750074">
        <w:t>Table 1 shows the R² across all three models:</w:t>
      </w:r>
    </w:p>
    <w:p w14:paraId="77429A77" w14:textId="77777777" w:rsidR="00750074" w:rsidRPr="00750074" w:rsidRDefault="00750074" w:rsidP="00750074">
      <w:r w:rsidRPr="00750074">
        <w:rPr>
          <w:i/>
          <w:iCs/>
        </w:rPr>
        <w:t>Table 1. R² by model and sample</w:t>
      </w:r>
    </w:p>
    <w:tbl>
      <w:tblPr>
        <w:tblW w:w="9675" w:type="dxa"/>
        <w:tblCellMar>
          <w:top w:w="15" w:type="dxa"/>
          <w:left w:w="15" w:type="dxa"/>
          <w:bottom w:w="15" w:type="dxa"/>
          <w:right w:w="15" w:type="dxa"/>
        </w:tblCellMar>
        <w:tblLook w:val="04A0" w:firstRow="1" w:lastRow="0" w:firstColumn="1" w:lastColumn="0" w:noHBand="0" w:noVBand="1"/>
      </w:tblPr>
      <w:tblGrid>
        <w:gridCol w:w="1175"/>
        <w:gridCol w:w="822"/>
        <w:gridCol w:w="972"/>
        <w:gridCol w:w="1126"/>
        <w:gridCol w:w="1382"/>
        <w:gridCol w:w="4198"/>
      </w:tblGrid>
      <w:tr w:rsidR="00750074" w:rsidRPr="00750074" w14:paraId="415E584B"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2CBAEB" w14:textId="77777777" w:rsidR="00750074" w:rsidRPr="00750074" w:rsidRDefault="00750074" w:rsidP="00750074">
            <w:pPr>
              <w:rPr>
                <w:b/>
                <w:bCs/>
              </w:rPr>
            </w:pPr>
            <w:r w:rsidRPr="00750074">
              <w:rPr>
                <w:b/>
                <w:bCs/>
              </w:rPr>
              <w:t>Sample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0BB498" w14:textId="77777777" w:rsidR="00750074" w:rsidRPr="00750074" w:rsidRDefault="00750074" w:rsidP="00750074">
            <w:pPr>
              <w:rPr>
                <w:b/>
                <w:bCs/>
              </w:rPr>
            </w:pPr>
            <w:r w:rsidRPr="00750074">
              <w:rPr>
                <w:b/>
                <w:bCs/>
              </w:rPr>
              <w:t>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81C024A" w14:textId="77777777" w:rsidR="00750074" w:rsidRPr="00750074" w:rsidRDefault="00750074" w:rsidP="00750074">
            <w:pPr>
              <w:rPr>
                <w:b/>
                <w:bCs/>
              </w:rPr>
            </w:pPr>
            <w:r w:rsidRPr="00750074">
              <w:rPr>
                <w:b/>
                <w:bCs/>
              </w:rPr>
              <w:t>M1 (NI)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9086E8" w14:textId="77777777" w:rsidR="00750074" w:rsidRPr="00750074" w:rsidRDefault="00750074" w:rsidP="00750074">
            <w:pPr>
              <w:rPr>
                <w:b/>
                <w:bCs/>
              </w:rPr>
            </w:pPr>
            <w:r w:rsidRPr="00750074">
              <w:rPr>
                <w:b/>
                <w:bCs/>
              </w:rPr>
              <w:t>M2 (EPS)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944AB3" w14:textId="77777777" w:rsidR="00750074" w:rsidRPr="00750074" w:rsidRDefault="00750074" w:rsidP="00750074">
            <w:pPr>
              <w:rPr>
                <w:b/>
                <w:bCs/>
              </w:rPr>
            </w:pPr>
            <w:r w:rsidRPr="00750074">
              <w:rPr>
                <w:b/>
                <w:bCs/>
              </w:rPr>
              <w:t>M3 (NI+SC)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027563" w14:textId="77777777" w:rsidR="00750074" w:rsidRPr="00750074" w:rsidRDefault="00750074" w:rsidP="00750074">
            <w:pPr>
              <w:rPr>
                <w:b/>
                <w:bCs/>
              </w:rPr>
            </w:pPr>
            <w:r w:rsidRPr="00750074">
              <w:rPr>
                <w:b/>
                <w:bCs/>
              </w:rPr>
              <w:t>Notes</w:t>
            </w:r>
          </w:p>
        </w:tc>
      </w:tr>
      <w:tr w:rsidR="00750074" w:rsidRPr="00750074" w14:paraId="31FEBAC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6DFC5A" w14:textId="77777777" w:rsidR="00750074" w:rsidRPr="00750074" w:rsidRDefault="00750074" w:rsidP="00750074">
            <w:r w:rsidRPr="00750074">
              <w:t>Pooled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76F0FF" w14:textId="77777777" w:rsidR="00750074" w:rsidRPr="00750074" w:rsidRDefault="00750074" w:rsidP="00750074">
            <w:r w:rsidRPr="00750074">
              <w:t>1,036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083A7B" w14:textId="77777777" w:rsidR="00750074" w:rsidRPr="00750074" w:rsidRDefault="00750074" w:rsidP="00750074">
            <w:r w:rsidRPr="00750074">
              <w:t>0.067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B86456" w14:textId="77777777" w:rsidR="00750074" w:rsidRPr="00750074" w:rsidRDefault="00750074" w:rsidP="00750074">
            <w:r w:rsidRPr="00750074">
              <w:t>0.067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EE276A" w14:textId="77777777" w:rsidR="00750074" w:rsidRPr="00750074" w:rsidRDefault="00750074" w:rsidP="00750074">
            <w:r w:rsidRPr="00750074">
              <w:t>0.068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6ABDC2" w14:textId="77777777" w:rsidR="00750074" w:rsidRPr="00750074" w:rsidRDefault="00750074" w:rsidP="00750074">
            <w:r w:rsidRPr="00750074">
              <w:t>NI and EPS produce essentially the same R²</w:t>
            </w:r>
          </w:p>
        </w:tc>
      </w:tr>
      <w:tr w:rsidR="00750074" w:rsidRPr="00750074" w14:paraId="3B18E9C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4505583" w14:textId="77777777" w:rsidR="00750074" w:rsidRPr="00750074" w:rsidRDefault="00750074" w:rsidP="00750074">
            <w:r w:rsidRPr="00750074">
              <w:t>FTSE MIB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ED47AC" w14:textId="77777777" w:rsidR="00750074" w:rsidRPr="00750074" w:rsidRDefault="00750074" w:rsidP="00750074">
            <w:r w:rsidRPr="00750074">
              <w:t>273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E37D74" w14:textId="77777777" w:rsidR="00750074" w:rsidRPr="00750074" w:rsidRDefault="00750074" w:rsidP="00750074">
            <w:r w:rsidRPr="00750074">
              <w:t>0.058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50C187" w14:textId="77777777" w:rsidR="00750074" w:rsidRPr="00750074" w:rsidRDefault="00750074" w:rsidP="00750074">
            <w:r w:rsidRPr="00750074">
              <w:t>0.060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1D3196" w14:textId="77777777" w:rsidR="00750074" w:rsidRPr="00750074" w:rsidRDefault="00750074" w:rsidP="00750074">
            <w:r w:rsidRPr="00750074">
              <w:t>0.059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303FD4B" w14:textId="77777777" w:rsidR="00750074" w:rsidRPr="00750074" w:rsidRDefault="00750074" w:rsidP="00750074"/>
        </w:tc>
      </w:tr>
      <w:tr w:rsidR="00750074" w:rsidRPr="00750074" w14:paraId="1AC4AE2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CC8434" w14:textId="77777777" w:rsidR="00750074" w:rsidRPr="00750074" w:rsidRDefault="00750074" w:rsidP="00750074">
            <w:r w:rsidRPr="00750074">
              <w:t>DAX 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F898BB" w14:textId="77777777" w:rsidR="00750074" w:rsidRPr="00750074" w:rsidRDefault="00750074" w:rsidP="00750074">
            <w:r w:rsidRPr="00750074">
              <w:t>274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080F9B" w14:textId="77777777" w:rsidR="00750074" w:rsidRPr="00750074" w:rsidRDefault="00750074" w:rsidP="00750074">
            <w:r w:rsidRPr="00750074">
              <w:t>0.053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4B86B2" w14:textId="77777777" w:rsidR="00750074" w:rsidRPr="00750074" w:rsidRDefault="00750074" w:rsidP="00750074">
            <w:r w:rsidRPr="00750074">
              <w:t>0.055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7B4F41" w14:textId="77777777" w:rsidR="00750074" w:rsidRPr="00750074" w:rsidRDefault="00750074" w:rsidP="00750074">
            <w:r w:rsidRPr="00750074">
              <w:t>0.055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9C3C5E" w14:textId="77777777" w:rsidR="00750074" w:rsidRPr="00750074" w:rsidRDefault="00750074" w:rsidP="00750074"/>
        </w:tc>
      </w:tr>
      <w:tr w:rsidR="00750074" w:rsidRPr="00750074" w14:paraId="63CF892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58E283" w14:textId="77777777" w:rsidR="00750074" w:rsidRPr="00750074" w:rsidRDefault="00750074" w:rsidP="00750074">
            <w:r w:rsidRPr="00750074">
              <w:t>CAC 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F669C0" w14:textId="77777777" w:rsidR="00750074" w:rsidRPr="00750074" w:rsidRDefault="00750074" w:rsidP="00750074">
            <w:r w:rsidRPr="00750074">
              <w:t>271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439A07" w14:textId="77777777" w:rsidR="00750074" w:rsidRPr="00750074" w:rsidRDefault="00750074" w:rsidP="00750074">
            <w:r w:rsidRPr="00750074">
              <w:t>0.105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78EFFD" w14:textId="77777777" w:rsidR="00750074" w:rsidRPr="00750074" w:rsidRDefault="00750074" w:rsidP="00750074">
            <w:r w:rsidRPr="00750074">
              <w:t>0.101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9B70AF" w14:textId="77777777" w:rsidR="00750074" w:rsidRPr="00750074" w:rsidRDefault="00750074" w:rsidP="00750074">
            <w:r w:rsidRPr="00750074">
              <w:t>0.109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3ED71E" w14:textId="77777777" w:rsidR="00750074" w:rsidRPr="00750074" w:rsidRDefault="00750074" w:rsidP="00750074"/>
        </w:tc>
      </w:tr>
      <w:tr w:rsidR="00750074" w:rsidRPr="00750074" w14:paraId="08C3EF1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CE066C" w14:textId="77777777" w:rsidR="00750074" w:rsidRPr="00750074" w:rsidRDefault="00750074" w:rsidP="00750074">
            <w:r w:rsidRPr="00750074">
              <w:t>IBEX 35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D921DF" w14:textId="77777777" w:rsidR="00750074" w:rsidRPr="00750074" w:rsidRDefault="00750074" w:rsidP="00750074">
            <w:r w:rsidRPr="00750074">
              <w:t>218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F52A2D" w14:textId="77777777" w:rsidR="00750074" w:rsidRPr="00750074" w:rsidRDefault="00750074" w:rsidP="00750074">
            <w:r w:rsidRPr="00750074">
              <w:t>0.067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5FC2BD" w14:textId="77777777" w:rsidR="00750074" w:rsidRPr="00750074" w:rsidRDefault="00750074" w:rsidP="00750074">
            <w:r w:rsidRPr="00750074">
              <w:t>0.064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BE7D97" w14:textId="77777777" w:rsidR="00750074" w:rsidRPr="00750074" w:rsidRDefault="00750074" w:rsidP="00750074">
            <w:r w:rsidRPr="00750074">
              <w:t>0.071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E4D4C8" w14:textId="77777777" w:rsidR="00750074" w:rsidRPr="00750074" w:rsidRDefault="00750074" w:rsidP="00750074"/>
        </w:tc>
      </w:tr>
    </w:tbl>
    <w:p w14:paraId="5FB76D77" w14:textId="77777777" w:rsidR="00750074" w:rsidRPr="00750074" w:rsidRDefault="00750074" w:rsidP="00750074">
      <w:r w:rsidRPr="00750074">
        <w:lastRenderedPageBreak/>
        <w:t>Models M1–M3 all explain a small share of annual return variation. The CAC 40 stands out at ~10%, the other indexes cluster around 5–7%.</w:t>
      </w:r>
    </w:p>
    <w:p w14:paraId="1AEF4599" w14:textId="77777777" w:rsidR="00750074" w:rsidRPr="00750074" w:rsidRDefault="00750074" w:rsidP="00750074">
      <w:r w:rsidRPr="00750074">
        <w:rPr>
          <w:b/>
          <w:bCs/>
        </w:rPr>
        <w:t>Buybacks add a small signal in the pooled sample, but country level results are unstable</w:t>
      </w:r>
    </w:p>
    <w:p w14:paraId="684DD07A" w14:textId="77777777" w:rsidR="00750074" w:rsidRPr="00750074" w:rsidRDefault="00750074" w:rsidP="00750074">
      <w:r w:rsidRPr="00750074">
        <w:t>In Model 3, the share count change coefficient is negative and significant in the pooled sample (coefficient = −0.84, p = 0.010). The negative sign is correct: a decrease in shares (negative change) corresponds to higher returns.</w:t>
      </w:r>
    </w:p>
    <w:p w14:paraId="0C43C69E" w14:textId="77777777" w:rsidR="00750074" w:rsidRPr="00750074" w:rsidRDefault="00750074" w:rsidP="00750074">
      <w:r w:rsidRPr="00750074">
        <w:t xml:space="preserve">At the country level, however, the results are not robust. Coefficient signs and significance vary meaningfully depending on which filters are applied to the sample (for example, whether extreme P/E values are excluded, or how </w:t>
      </w:r>
      <w:proofErr w:type="spellStart"/>
      <w:r w:rsidRPr="00750074">
        <w:t>winsorization</w:t>
      </w:r>
      <w:proofErr w:type="spellEnd"/>
      <w:r w:rsidRPr="00750074">
        <w:t xml:space="preserve"> is handled). With only 220–330 observations per country and buyback effects that are small to begin with, individual country coefficients swing in and out of significance in ways that do not support strong country level conclusions. For that reason, we report the pooled result but avoid a country-by-country comparison.</w:t>
      </w:r>
    </w:p>
    <w:p w14:paraId="1F275D43" w14:textId="77777777" w:rsidR="00750074" w:rsidRPr="00750074" w:rsidRDefault="00750074" w:rsidP="00750074">
      <w:pPr>
        <w:rPr>
          <w:b/>
          <w:bCs/>
          <w:sz w:val="32"/>
          <w:szCs w:val="32"/>
        </w:rPr>
      </w:pPr>
      <w:r w:rsidRPr="00750074">
        <w:rPr>
          <w:b/>
          <w:bCs/>
          <w:sz w:val="32"/>
          <w:szCs w:val="32"/>
        </w:rPr>
        <w:t>What This Means</w:t>
      </w:r>
    </w:p>
    <w:p w14:paraId="4431A037" w14:textId="77777777" w:rsidR="00750074" w:rsidRPr="00750074" w:rsidRDefault="00750074" w:rsidP="00750074">
      <w:r w:rsidRPr="00750074">
        <w:t xml:space="preserve">The short answer to the original question </w:t>
      </w:r>
      <w:proofErr w:type="gramStart"/>
      <w:r w:rsidRPr="00750074">
        <w:t>is:</w:t>
      </w:r>
      <w:proofErr w:type="gramEnd"/>
      <w:r w:rsidRPr="00750074">
        <w:t xml:space="preserve"> no, buybacks do not meaningfully explain European stock returns better than earnings growth. The two are essentially interchangeable in Models 1 and 2 because buybacks contribute so little to EPS growth in the first place.</w:t>
      </w:r>
    </w:p>
    <w:p w14:paraId="3EDC45C2" w14:textId="77777777" w:rsidR="00750074" w:rsidRPr="00750074" w:rsidRDefault="00750074" w:rsidP="00750074">
      <w:r w:rsidRPr="00750074">
        <w:t>Model 3 shows that, once earnings growth is controlled for, share count change carries a small but statistically meaningful signal in the pooled sample. We initially tried to interpret this at the country level, but those results proved unstable to sample filters and we would not want to build a story on them.</w:t>
      </w:r>
    </w:p>
    <w:p w14:paraId="236CECE9" w14:textId="77777777" w:rsidR="00750074" w:rsidRPr="00750074" w:rsidRDefault="00750074" w:rsidP="00750074">
      <w:r w:rsidRPr="00750074">
        <w:t>Methodology Note</w:t>
      </w:r>
    </w:p>
    <w:p w14:paraId="24C95A6C" w14:textId="77777777" w:rsidR="00750074" w:rsidRPr="00750074" w:rsidRDefault="00750074" w:rsidP="00750074">
      <w:r w:rsidRPr="00750074">
        <w:rPr>
          <w:b/>
          <w:bCs/>
        </w:rPr>
        <w:t>Limitations:</w:t>
      </w:r>
      <w:r w:rsidRPr="00750074">
        <w:t xml:space="preserve"> The sample uses current index constituents traced back to 2015, introducing survivorship bias. Returns are price only (excluding dividends), which understates total returns for high-dividend sectors. Share count change captures net buybacks (repurchases minus new issuance), not gross buyback expenditure. To limit the risk that share count movements reflect non-buyback events such as equity issuance for M&amp;A, capital raises, or stock splits, we used weighted average shares outstanding rather than end-of-period share counts and </w:t>
      </w:r>
      <w:proofErr w:type="spellStart"/>
      <w:r w:rsidRPr="00750074">
        <w:t>winsorized</w:t>
      </w:r>
      <w:proofErr w:type="spellEnd"/>
      <w:r w:rsidRPr="00750074">
        <w:t xml:space="preserve"> all variables at the 5th and 95th percentiles, which trims the most extreme share count movements from the sample. A previous version of this analysis included P/E change as a regressor; we dropped those specifications because the resulting models amount to a decomposition of returns rather than a test of what drives them.</w:t>
      </w:r>
    </w:p>
    <w:p w14:paraId="5B9EA86A" w14:textId="77777777" w:rsidR="00750074" w:rsidRPr="00750074" w:rsidRDefault="00750074" w:rsidP="00750074">
      <w:r w:rsidRPr="00750074">
        <w:t xml:space="preserve">Data sources: Net income, weighted average shares outstanding, stock prices and market capitalization from </w:t>
      </w:r>
      <w:proofErr w:type="spellStart"/>
      <w:r w:rsidRPr="00750074">
        <w:t>Wisesheets</w:t>
      </w:r>
      <w:proofErr w:type="spellEnd"/>
      <w:r w:rsidRPr="00750074">
        <w:t xml:space="preserve"> (company filings). Data can be found </w:t>
      </w:r>
      <w:hyperlink r:id="rId4" w:history="1">
        <w:r w:rsidRPr="00750074">
          <w:rPr>
            <w:rStyle w:val="Hyperlink"/>
          </w:rPr>
          <w:t>here</w:t>
        </w:r>
      </w:hyperlink>
      <w:r w:rsidRPr="00750074">
        <w:t>.</w:t>
      </w:r>
    </w:p>
    <w:p w14:paraId="113CDFFC" w14:textId="77777777" w:rsidR="00995AA7" w:rsidRDefault="00995AA7"/>
    <w:sectPr w:rsidR="00995AA7" w:rsidSect="008C57D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D0"/>
    <w:rsid w:val="002B24B1"/>
    <w:rsid w:val="003454A8"/>
    <w:rsid w:val="00393DB8"/>
    <w:rsid w:val="00446C2B"/>
    <w:rsid w:val="006854D0"/>
    <w:rsid w:val="00750074"/>
    <w:rsid w:val="0082208F"/>
    <w:rsid w:val="008C57DB"/>
    <w:rsid w:val="00995AA7"/>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98D2"/>
  <w15:chartTrackingRefBased/>
  <w15:docId w15:val="{0FE436B1-8DDE-4143-A2E3-8546E21B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4D0"/>
    <w:rPr>
      <w:rFonts w:eastAsiaTheme="majorEastAsia" w:cstheme="majorBidi"/>
      <w:color w:val="272727" w:themeColor="text1" w:themeTint="D8"/>
    </w:rPr>
  </w:style>
  <w:style w:type="paragraph" w:styleId="Title">
    <w:name w:val="Title"/>
    <w:basedOn w:val="Normal"/>
    <w:next w:val="Normal"/>
    <w:link w:val="TitleChar"/>
    <w:uiPriority w:val="10"/>
    <w:qFormat/>
    <w:rsid w:val="00685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4D0"/>
    <w:pPr>
      <w:spacing w:before="160"/>
      <w:jc w:val="center"/>
    </w:pPr>
    <w:rPr>
      <w:i/>
      <w:iCs/>
      <w:color w:val="404040" w:themeColor="text1" w:themeTint="BF"/>
    </w:rPr>
  </w:style>
  <w:style w:type="character" w:customStyle="1" w:styleId="QuoteChar">
    <w:name w:val="Quote Char"/>
    <w:basedOn w:val="DefaultParagraphFont"/>
    <w:link w:val="Quote"/>
    <w:uiPriority w:val="29"/>
    <w:rsid w:val="006854D0"/>
    <w:rPr>
      <w:i/>
      <w:iCs/>
      <w:color w:val="404040" w:themeColor="text1" w:themeTint="BF"/>
    </w:rPr>
  </w:style>
  <w:style w:type="paragraph" w:styleId="ListParagraph">
    <w:name w:val="List Paragraph"/>
    <w:basedOn w:val="Normal"/>
    <w:uiPriority w:val="34"/>
    <w:qFormat/>
    <w:rsid w:val="006854D0"/>
    <w:pPr>
      <w:ind w:left="720"/>
      <w:contextualSpacing/>
    </w:pPr>
  </w:style>
  <w:style w:type="character" w:styleId="IntenseEmphasis">
    <w:name w:val="Intense Emphasis"/>
    <w:basedOn w:val="DefaultParagraphFont"/>
    <w:uiPriority w:val="21"/>
    <w:qFormat/>
    <w:rsid w:val="006854D0"/>
    <w:rPr>
      <w:i/>
      <w:iCs/>
      <w:color w:val="0F4761" w:themeColor="accent1" w:themeShade="BF"/>
    </w:rPr>
  </w:style>
  <w:style w:type="paragraph" w:styleId="IntenseQuote">
    <w:name w:val="Intense Quote"/>
    <w:basedOn w:val="Normal"/>
    <w:next w:val="Normal"/>
    <w:link w:val="IntenseQuoteChar"/>
    <w:uiPriority w:val="30"/>
    <w:qFormat/>
    <w:rsid w:val="00685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4D0"/>
    <w:rPr>
      <w:i/>
      <w:iCs/>
      <w:color w:val="0F4761" w:themeColor="accent1" w:themeShade="BF"/>
    </w:rPr>
  </w:style>
  <w:style w:type="character" w:styleId="IntenseReference">
    <w:name w:val="Intense Reference"/>
    <w:basedOn w:val="DefaultParagraphFont"/>
    <w:uiPriority w:val="32"/>
    <w:qFormat/>
    <w:rsid w:val="006854D0"/>
    <w:rPr>
      <w:b/>
      <w:bCs/>
      <w:smallCaps/>
      <w:color w:val="0F4761" w:themeColor="accent1" w:themeShade="BF"/>
      <w:spacing w:val="5"/>
    </w:rPr>
  </w:style>
  <w:style w:type="character" w:styleId="Hyperlink">
    <w:name w:val="Hyperlink"/>
    <w:basedOn w:val="DefaultParagraphFont"/>
    <w:uiPriority w:val="99"/>
    <w:unhideWhenUsed/>
    <w:rsid w:val="00750074"/>
    <w:rPr>
      <w:color w:val="467886" w:themeColor="hyperlink"/>
      <w:u w:val="single"/>
    </w:rPr>
  </w:style>
  <w:style w:type="character" w:styleId="UnresolvedMention">
    <w:name w:val="Unresolved Mention"/>
    <w:basedOn w:val="DefaultParagraphFont"/>
    <w:uiPriority w:val="99"/>
    <w:semiHidden/>
    <w:unhideWhenUsed/>
    <w:rsid w:val="00750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RiccardoCeccaroni/Variable-Thoughts/tree/main/Analysis/BuyBack%20Projec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971</Words>
  <Characters>5537</Characters>
  <Application>Microsoft Office Word</Application>
  <DocSecurity>0</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Ceccaroni</dc:creator>
  <cp:keywords/>
  <dc:description/>
  <cp:lastModifiedBy>Riccardo Ceccaroni</cp:lastModifiedBy>
  <cp:revision>2</cp:revision>
  <dcterms:created xsi:type="dcterms:W3CDTF">2026-04-21T10:21:00Z</dcterms:created>
  <dcterms:modified xsi:type="dcterms:W3CDTF">2026-04-21T10:38:00Z</dcterms:modified>
</cp:coreProperties>
</file>