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F5C3" w14:textId="3A97680A" w:rsidR="002E20AB" w:rsidRDefault="002D2B4B" w:rsidP="002D2B4B">
      <w:pPr>
        <w:pStyle w:val="Titolo"/>
      </w:pPr>
      <w:proofErr w:type="spellStart"/>
      <w:r>
        <w:t>Slipcover</w:t>
      </w:r>
      <w:proofErr w:type="spellEnd"/>
    </w:p>
    <w:p w14:paraId="5D7F1E2C" w14:textId="2F3A7B56" w:rsidR="002D2B4B" w:rsidRDefault="002D2B4B" w:rsidP="002D2B4B">
      <w:pPr>
        <w:pStyle w:val="Sottotitolo"/>
      </w:pPr>
      <w:r>
        <w:t>“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of </w:t>
      </w:r>
      <w:proofErr w:type="spellStart"/>
      <w:r>
        <w:t>Probabilistic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by </w:t>
      </w:r>
      <w:proofErr w:type="spellStart"/>
      <w:r>
        <w:t>searChing</w:t>
      </w:r>
      <w:proofErr w:type="spellEnd"/>
      <w:r>
        <w:t xml:space="preserve"> OVER the </w:t>
      </w:r>
      <w:proofErr w:type="spellStart"/>
      <w:r>
        <w:t>clause</w:t>
      </w:r>
      <w:proofErr w:type="spellEnd"/>
      <w:r>
        <w:t xml:space="preserve"> </w:t>
      </w:r>
      <w:proofErr w:type="spellStart"/>
      <w:r>
        <w:t>space</w:t>
      </w:r>
      <w:proofErr w:type="spellEnd"/>
      <w:r>
        <w:t>”</w:t>
      </w:r>
    </w:p>
    <w:p w14:paraId="04D37909" w14:textId="4B5CD46C" w:rsidR="002E7FB2" w:rsidRDefault="002E7FB2" w:rsidP="002E7FB2">
      <w:pPr>
        <w:pStyle w:val="Titolo1"/>
      </w:pPr>
      <w:proofErr w:type="spellStart"/>
      <w:r>
        <w:t>Introduzinoe</w:t>
      </w:r>
      <w:proofErr w:type="spellEnd"/>
    </w:p>
    <w:p w14:paraId="6B0CCDAD" w14:textId="1B6B777B" w:rsidR="002D2B4B" w:rsidRDefault="002D2B4B" w:rsidP="002D2B4B">
      <w:r>
        <w:t>L’algoritmo SLIPCOVER esegue una ricerca “</w:t>
      </w:r>
      <w:proofErr w:type="spellStart"/>
      <w:r>
        <w:t>beam</w:t>
      </w:r>
      <w:proofErr w:type="spellEnd"/>
      <w:r>
        <w:t>” nello spazio delle clausole probabilistiche e una ricerca “</w:t>
      </w:r>
      <w:proofErr w:type="spellStart"/>
      <w:r>
        <w:t>greedy</w:t>
      </w:r>
      <w:proofErr w:type="spellEnd"/>
      <w:r>
        <w:t>” nello spazio delle teorie, utilizzando la verosimiglianza logaritmica dei dati come euristica guida.</w:t>
      </w:r>
    </w:p>
    <w:p w14:paraId="06FFBB7A" w14:textId="71BEC5CA" w:rsidR="002D2B4B" w:rsidRDefault="007C0F60" w:rsidP="002D2B4B">
      <w:r w:rsidRPr="007C0F60">
        <w:t xml:space="preserve">Per stimare la verosimiglianza </w:t>
      </w:r>
      <w:r>
        <w:t>logaritmica</w:t>
      </w:r>
      <w:r w:rsidRPr="007C0F60">
        <w:t>, SLIPCOVER esegue la massimizzazione delle aspettative con EMBLEM</w:t>
      </w:r>
      <w:r>
        <w:t>.</w:t>
      </w:r>
    </w:p>
    <w:p w14:paraId="3EB6C79A" w14:textId="1E1393B9" w:rsidR="007C0F60" w:rsidRDefault="00AE6753" w:rsidP="002D2B4B">
      <w:r>
        <w:t xml:space="preserve">SLIPCOVER raggiunge valori più elevati </w:t>
      </w:r>
      <w:r w:rsidR="00AF29D4">
        <w:t xml:space="preserve">nelle curve di ROC e </w:t>
      </w:r>
      <w:proofErr w:type="spellStart"/>
      <w:r w:rsidR="00AF29D4">
        <w:t>precision</w:t>
      </w:r>
      <w:proofErr w:type="spellEnd"/>
      <w:r w:rsidR="00AF29D4">
        <w:t xml:space="preserve">-recall nella maggior parte dei casi quando comparato a SLIPCASE, SEM-CP </w:t>
      </w:r>
      <w:proofErr w:type="spellStart"/>
      <w:r w:rsidR="00AF29D4">
        <w:t>logic</w:t>
      </w:r>
      <w:proofErr w:type="spellEnd"/>
      <w:r w:rsidR="00AF29D4">
        <w:t xml:space="preserve"> ed altri algoritmi.</w:t>
      </w:r>
    </w:p>
    <w:p w14:paraId="7016DDB8" w14:textId="200BE532" w:rsidR="00AF29D4" w:rsidRDefault="002E7FB2" w:rsidP="002E7FB2">
      <w:pPr>
        <w:pStyle w:val="Titolo1"/>
      </w:pPr>
      <w:r>
        <w:t>Corpo</w:t>
      </w:r>
    </w:p>
    <w:p w14:paraId="03647753" w14:textId="361C29D8" w:rsidR="002E7FB2" w:rsidRDefault="00A574E0" w:rsidP="002E7FB2">
      <w:r>
        <w:t>L’inferenza per linguaggi PLP possono essere eseguiti con un certo numero di algoritmi che in molti casi trovano la spiegazione delle queries e ne calcolano la loro probabilità costruendo un albero di decisione binaria (BDD)</w:t>
      </w:r>
    </w:p>
    <w:p w14:paraId="717E1523" w14:textId="42B6CA59" w:rsidR="00A574E0" w:rsidRDefault="00A574E0" w:rsidP="002E7FB2">
      <w:r>
        <w:t xml:space="preserve">SLIPCASE apprende la struttura di un </w:t>
      </w:r>
      <w:proofErr w:type="spellStart"/>
      <w:r>
        <w:t>LPADs</w:t>
      </w:r>
      <w:proofErr w:type="spellEnd"/>
      <w:r>
        <w:t xml:space="preserve"> eseguendo una ricerca ‘</w:t>
      </w:r>
      <w:proofErr w:type="spellStart"/>
      <w:r>
        <w:t>beam</w:t>
      </w:r>
      <w:proofErr w:type="spellEnd"/>
      <w:r>
        <w:t xml:space="preserve">’ nello spazio delle teorie probabilistiche utilizzando la verosimiglianza logaritmica dei dati come euristica guida. Per stimare la verosimiglianza logaritmica </w:t>
      </w:r>
      <w:r w:rsidR="00B00AE2">
        <w:t>vengono eseguiti un certo numero di iterazioni di ‘</w:t>
      </w:r>
      <w:proofErr w:type="spellStart"/>
      <w:r w:rsidR="00B00AE2">
        <w:t>Expetation</w:t>
      </w:r>
      <w:proofErr w:type="spellEnd"/>
      <w:r w:rsidR="00B00AE2">
        <w:t xml:space="preserve"> </w:t>
      </w:r>
      <w:proofErr w:type="spellStart"/>
      <w:r w:rsidR="00B00AE2">
        <w:t>Maximization</w:t>
      </w:r>
      <w:proofErr w:type="spellEnd"/>
      <w:r w:rsidR="00B00AE2">
        <w:t>’ di EMPBLEM.</w:t>
      </w:r>
    </w:p>
    <w:p w14:paraId="797D9E75" w14:textId="437A8C81" w:rsidR="00B00AE2" w:rsidRDefault="00B00AE2" w:rsidP="002E7FB2">
      <w:r>
        <w:t>Parte verde</w:t>
      </w:r>
    </w:p>
    <w:p w14:paraId="671C094F" w14:textId="22C566B6" w:rsidR="00B00AE2" w:rsidRDefault="00B00AE2" w:rsidP="002E7FB2">
      <w:r>
        <w:t>SLIPCOVER è una evoluzione di SLIPCASE, con la differenza che SLIPCOVER per prima cosa cerca nello spazio delle clausole, tenendo da parte quelle ritenute promettenti, successivamente</w:t>
      </w:r>
      <w:r w:rsidR="00CF5B34">
        <w:t xml:space="preserve"> con approccio discriminativo</w:t>
      </w:r>
      <w:r>
        <w:t xml:space="preserve"> le divide in:</w:t>
      </w:r>
    </w:p>
    <w:p w14:paraId="4F6D1C76" w14:textId="0113AB8F" w:rsidR="00B00AE2" w:rsidRDefault="00B00AE2" w:rsidP="00B00AE2">
      <w:pPr>
        <w:pStyle w:val="Paragrafoelenco"/>
        <w:numPr>
          <w:ilvl w:val="0"/>
          <w:numId w:val="1"/>
        </w:numPr>
      </w:pPr>
      <w:r>
        <w:t>Clausole per i predicati ‘target’ (quelli da predire)</w:t>
      </w:r>
    </w:p>
    <w:p w14:paraId="6AA94212" w14:textId="0A020FB0" w:rsidR="00B00AE2" w:rsidRDefault="00B00AE2" w:rsidP="00B00AE2">
      <w:pPr>
        <w:pStyle w:val="Paragrafoelenco"/>
        <w:numPr>
          <w:ilvl w:val="0"/>
          <w:numId w:val="1"/>
        </w:numPr>
      </w:pPr>
      <w:r>
        <w:t>Clausole per i predicati di background (i rimanenti)</w:t>
      </w:r>
    </w:p>
    <w:p w14:paraId="41E3CE27" w14:textId="6AD247B4" w:rsidR="00183E44" w:rsidRDefault="00CF5B34" w:rsidP="00CF5B34">
      <w:r>
        <w:t xml:space="preserve">Questa ricerca parte da un insieme di clausole dette ‘bottom </w:t>
      </w:r>
      <w:proofErr w:type="spellStart"/>
      <w:r>
        <w:t>clauses</w:t>
      </w:r>
      <w:proofErr w:type="spellEnd"/>
      <w:r>
        <w:t xml:space="preserve">’ generate come in </w:t>
      </w:r>
      <w:proofErr w:type="spellStart"/>
      <w:r>
        <w:t>Prolog</w:t>
      </w:r>
      <w:proofErr w:type="spellEnd"/>
      <w:r>
        <w:t xml:space="preserve"> e </w:t>
      </w:r>
      <w:r w:rsidR="00183E44">
        <w:t>cerca perfezionamenti in termini di LL. A questo punto procede con la ricerca ‘</w:t>
      </w:r>
      <w:proofErr w:type="spellStart"/>
      <w:r w:rsidR="00183E44">
        <w:t>greedy</w:t>
      </w:r>
      <w:proofErr w:type="spellEnd"/>
      <w:r w:rsidR="00183E44">
        <w:t xml:space="preserve">’ nello spazio delle teorie. </w:t>
      </w:r>
      <w:r w:rsidR="00183E44" w:rsidRPr="00183E44">
        <w:t xml:space="preserve">Infine, esegue l'apprendimento dei parametri con EMBLEM sulla </w:t>
      </w:r>
      <w:r w:rsidR="00183E44">
        <w:t>migliore teoria target</w:t>
      </w:r>
      <w:r w:rsidR="00183E44" w:rsidRPr="00183E44">
        <w:t xml:space="preserve"> </w:t>
      </w:r>
      <w:r w:rsidR="00183E44">
        <w:t xml:space="preserve">e sulle </w:t>
      </w:r>
      <w:r w:rsidR="00183E44" w:rsidRPr="00183E44">
        <w:t>clausole per i predicati di background</w:t>
      </w:r>
      <w:r w:rsidR="00183E44">
        <w:t>.</w:t>
      </w:r>
    </w:p>
    <w:p w14:paraId="2015C100" w14:textId="3FDE7CFB" w:rsidR="00183E44" w:rsidRDefault="00183E44" w:rsidP="00CF5B34">
      <w:r w:rsidRPr="00183E44">
        <w:t xml:space="preserve">SLIPCOVER può apprendere LPAD generali inclusi programmi </w:t>
      </w:r>
      <w:r>
        <w:t>non-ground.</w:t>
      </w:r>
    </w:p>
    <w:p w14:paraId="556D81AC" w14:textId="6514912D" w:rsidR="00BA75A5" w:rsidRDefault="00BA75A5" w:rsidP="00CF5B34"/>
    <w:p w14:paraId="6112688D" w14:textId="1A41D712" w:rsidR="00BA75A5" w:rsidRDefault="00BA75A5" w:rsidP="00CF5B34"/>
    <w:p w14:paraId="49A0BF6D" w14:textId="77777777" w:rsidR="00BA75A5" w:rsidRDefault="00BA75A5" w:rsidP="00BA75A5">
      <w:pPr>
        <w:pStyle w:val="Titolo"/>
      </w:pPr>
    </w:p>
    <w:p w14:paraId="4729E184" w14:textId="77777777" w:rsidR="00BA75A5" w:rsidRDefault="00BA75A5" w:rsidP="00BA75A5">
      <w:pPr>
        <w:pStyle w:val="Titolo"/>
      </w:pPr>
    </w:p>
    <w:p w14:paraId="75C27C3F" w14:textId="77777777" w:rsidR="00BA75A5" w:rsidRDefault="00BA75A5" w:rsidP="00BA75A5">
      <w:pPr>
        <w:pStyle w:val="Titolo"/>
      </w:pPr>
    </w:p>
    <w:p w14:paraId="6AE48BF4" w14:textId="1AF08FDE" w:rsidR="00BA75A5" w:rsidRDefault="00BA75A5" w:rsidP="00BA75A5">
      <w:pPr>
        <w:pStyle w:val="Titolo"/>
      </w:pPr>
      <w:r>
        <w:lastRenderedPageBreak/>
        <w:t>Verosimiglianza</w:t>
      </w:r>
    </w:p>
    <w:p w14:paraId="19CBFADD" w14:textId="7E6C9ECE" w:rsidR="00BA75A5" w:rsidRPr="00BA75A5" w:rsidRDefault="00BA75A5" w:rsidP="00BA75A5">
      <w:hyperlink r:id="rId5" w:anchor="il-logaritmo-della-massima-verosimiglianza" w:history="1">
        <w:r>
          <w:rPr>
            <w:rStyle w:val="Collegamentoipertestuale"/>
          </w:rPr>
          <w:t>Lezione 9: la verosimiglianza — Laboratorio 2 (</w:t>
        </w:r>
        <w:proofErr w:type="spellStart"/>
        <w:r>
          <w:rPr>
            <w:rStyle w:val="Collegamentoipertestuale"/>
          </w:rPr>
          <w:t>unimibfisicalaboratori.github.io</w:t>
        </w:r>
        <w:proofErr w:type="spellEnd"/>
        <w:r>
          <w:rPr>
            <w:rStyle w:val="Collegamentoipertestuale"/>
          </w:rPr>
          <w:t>)</w:t>
        </w:r>
      </w:hyperlink>
    </w:p>
    <w:p w14:paraId="2C1F70DF" w14:textId="054AC108" w:rsidR="00BA75A5" w:rsidRDefault="00BA75A5" w:rsidP="00BA75A5">
      <w:r w:rsidRPr="00BA75A5">
        <w:t xml:space="preserve">Tutta l’informazione che caratterizza un esperimento, che riassume sia le assunzioni teoriche che le misure effettuate, è inscritta nella verosimiglianza o </w:t>
      </w:r>
      <w:proofErr w:type="spellStart"/>
      <w:r w:rsidRPr="00BA75A5">
        <w:t>likelihood</w:t>
      </w:r>
      <w:proofErr w:type="spellEnd"/>
      <w:r w:rsidRPr="00BA75A5">
        <w:t>, definita come il prodotto del valore della distribuzione di densità di probabilità calcolata per ogni misura effettuata</w:t>
      </w:r>
      <w:r w:rsidR="009F1A4A">
        <w:t>:</w:t>
      </w:r>
    </w:p>
    <w:p w14:paraId="75090BDB" w14:textId="18220D69" w:rsidR="009F1A4A" w:rsidRDefault="009F1A4A" w:rsidP="009F1A4A"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×… ×f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FDC05C8" w14:textId="7718C9F0" w:rsidR="009F1A4A" w:rsidRDefault="009F1A4A" w:rsidP="00BA75A5"/>
    <w:p w14:paraId="11EC1D8F" w14:textId="23D9D4E1" w:rsidR="009F1A4A" w:rsidRDefault="009F1A4A" w:rsidP="00BA75A5">
      <w:r w:rsidRPr="009F1A4A">
        <w:t xml:space="preserve">La </w:t>
      </w:r>
      <w:proofErr w:type="spellStart"/>
      <w:r w:rsidRPr="009F1A4A">
        <w:t>likelihood</w:t>
      </w:r>
      <w:proofErr w:type="spellEnd"/>
      <w:r w:rsidRPr="009F1A4A">
        <w:t xml:space="preserve"> è funzione sia delle misure che dei parametri, tuttavia si evidenzia la dipendenza dai parametri perché a misure finite i dati sono immutabili.</w:t>
      </w:r>
    </w:p>
    <w:p w14:paraId="76C882B1" w14:textId="77777777" w:rsidR="009F1A4A" w:rsidRDefault="009F1A4A" w:rsidP="00BA75A5"/>
    <w:p w14:paraId="013A94AE" w14:textId="74D806CA" w:rsidR="00BA75A5" w:rsidRDefault="00BA75A5" w:rsidP="00BA75A5">
      <w:r>
        <w:t xml:space="preserve">Spesso si utilizza per fare conti e nelle rappresentazioni grafiche il logaritmo della funzione di </w:t>
      </w:r>
      <w:proofErr w:type="spellStart"/>
      <w:r>
        <w:t>likelihood</w:t>
      </w:r>
      <w:proofErr w:type="spellEnd"/>
      <w:r>
        <w:t>, indicato con in lettera corsiva minuscola:</w:t>
      </w:r>
    </w:p>
    <w:p w14:paraId="3F668D16" w14:textId="6CCED4E1" w:rsidR="00BA75A5" w:rsidRDefault="00BA75A5" w:rsidP="00BA75A5"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14:paraId="5C3F4F78" w14:textId="77777777" w:rsidR="00BA75A5" w:rsidRDefault="00BA75A5" w:rsidP="00BA75A5">
      <w:r>
        <w:t xml:space="preserve">Infatti, siccome il logaritmo è una funzione monotona crescente, il comportamento della </w:t>
      </w:r>
      <w:proofErr w:type="spellStart"/>
      <w:r>
        <w:t>likelihood</w:t>
      </w:r>
      <w:proofErr w:type="spellEnd"/>
      <w:r>
        <w:t xml:space="preserve"> ed il suo logaritmo sono simili</w:t>
      </w:r>
    </w:p>
    <w:p w14:paraId="29D943BE" w14:textId="77777777" w:rsidR="00BA75A5" w:rsidRDefault="00BA75A5" w:rsidP="00BA75A5">
      <w:r>
        <w:t>Il logaritmo di un prodotto di termini è uguale alla somma dei logaritmi dei singoli termini</w:t>
      </w:r>
    </w:p>
    <w:p w14:paraId="0F088D78" w14:textId="77777777" w:rsidR="00BA75A5" w:rsidRDefault="00BA75A5" w:rsidP="00BA75A5"/>
    <w:p w14:paraId="5627E5F8" w14:textId="5B27B8A1" w:rsidR="00BA75A5" w:rsidRDefault="00A41E05" w:rsidP="00BA75A5">
      <m:oMathPara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θ;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 w:cs="Calibri"/>
                        </w:rPr>
                        <m:t>θ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 w:cs="Calibri"/>
                        </w:rPr>
                        <m:t>θ</m:t>
                      </m:r>
                    </m:e>
                  </m:d>
                </m:e>
              </m:d>
            </m:e>
          </m:nary>
        </m:oMath>
      </m:oMathPara>
    </w:p>
    <w:p w14:paraId="53AE4FD5" w14:textId="77777777" w:rsidR="00BA75A5" w:rsidRDefault="00BA75A5" w:rsidP="00BA75A5">
      <w:r>
        <w:t>Il logaritmo di un numero è più piccolo del numero stesso e varia su un intervallo minore rispetto alla variabilità del numero stesso, quindi operazioni con i logaritmi possono essere stabili numericamente</w:t>
      </w:r>
    </w:p>
    <w:p w14:paraId="732EBD02" w14:textId="77777777" w:rsidR="00BA75A5" w:rsidRPr="00BA75A5" w:rsidRDefault="00BA75A5" w:rsidP="00BA75A5"/>
    <w:sectPr w:rsidR="00BA75A5" w:rsidRPr="00BA75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21104"/>
    <w:multiLevelType w:val="hybridMultilevel"/>
    <w:tmpl w:val="BCAA5BE0"/>
    <w:lvl w:ilvl="0" w:tplc="3E360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4B"/>
    <w:rsid w:val="00183E44"/>
    <w:rsid w:val="002D2B4B"/>
    <w:rsid w:val="002E20AB"/>
    <w:rsid w:val="002E7FB2"/>
    <w:rsid w:val="007C0F60"/>
    <w:rsid w:val="009F1A4A"/>
    <w:rsid w:val="00A41E05"/>
    <w:rsid w:val="00A574E0"/>
    <w:rsid w:val="00AE6753"/>
    <w:rsid w:val="00AF29D4"/>
    <w:rsid w:val="00B00AE2"/>
    <w:rsid w:val="00BA75A5"/>
    <w:rsid w:val="00C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244A"/>
  <w15:chartTrackingRefBased/>
  <w15:docId w15:val="{A2129F18-CAFF-4D32-9D4C-DAAD9418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E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D2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D2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D2B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D2B4B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E7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00AE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A75A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75A5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BA75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47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imibfisicalaboratori.github.io/UnimibFisicaLab2WebBook/Lezione_09/READ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 FRANCESCO</dc:creator>
  <cp:keywords/>
  <dc:description/>
  <cp:lastModifiedBy>SILVI FRANCESCO</cp:lastModifiedBy>
  <cp:revision>2</cp:revision>
  <dcterms:created xsi:type="dcterms:W3CDTF">2022-03-14T14:51:00Z</dcterms:created>
  <dcterms:modified xsi:type="dcterms:W3CDTF">2022-03-15T08:17:00Z</dcterms:modified>
</cp:coreProperties>
</file>