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해외 파트너사 기업개요 및 재무평가 보고서</w:t>
      </w:r>
    </w:p>
    <w:p>
      <w:r>
        <w:t>대상 법인: Synthetic Infrastructure Co.</w:t>
      </w:r>
    </w:p>
    <w:p>
      <w:r>
        <w:t>국가 / 업종: Testland / 미확인</w:t>
      </w:r>
    </w:p>
    <w:p>
      <w:r>
        <w:t>분석 기준: 연결, IFRS, 최종수정 2026-09-23T08:49:58+00:00</w:t>
      </w:r>
    </w:p>
    <w:p>
      <w:r>
        <w:t>본 보고서는 예비 검토 자료이며 정식 신용평가가 아닙니다. 원문 및 인적 검토가 필요합니다.</w:t>
      </w:r>
    </w:p>
    <w:p>
      <w:pPr>
        <w:pStyle w:val="Heading1"/>
      </w:pPr>
      <w:r>
        <w:t>1. 기업개요</w:t>
      </w:r>
    </w:p>
    <w:p>
      <w:r>
        <w:t>기업개요는 공식 홈페이지·연차보고서 근거를 확인한 뒤 작성해야 합니다.</w:t>
      </w:r>
    </w:p>
    <w:p>
      <w:r>
        <w:t>평가 대상 법인 식별정보: 미확인</w:t>
      </w:r>
    </w:p>
    <w:p>
      <w:pPr>
        <w:pStyle w:val="Heading1"/>
      </w:pPr>
      <w:r>
        <w:t>2. 최근 재무요약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FY2023</w:t>
            </w:r>
          </w:p>
        </w:tc>
        <w:tc>
          <w:tcPr>
            <w:tcW w:type="dxa" w:w="2880"/>
          </w:tcPr>
          <w:p>
            <w:r>
              <w:t>FY2024</w:t>
            </w:r>
          </w:p>
        </w:tc>
      </w:tr>
      <w:tr>
        <w:tc>
          <w:tcPr>
            <w:tcW w:type="dxa" w:w="2880"/>
          </w:tcPr>
          <w:p>
            <w:r>
              <w:t>매출액</w:t>
            </w:r>
          </w:p>
        </w:tc>
        <w:tc>
          <w:tcPr>
            <w:tcW w:type="dxa" w:w="2880"/>
          </w:tcPr>
          <w:p>
            <w:r>
              <w:t>1,000,000,000 KRW</w:t>
            </w:r>
          </w:p>
        </w:tc>
        <w:tc>
          <w:tcPr>
            <w:tcW w:type="dxa" w:w="2880"/>
          </w:tcPr>
          <w:p>
            <w:r>
              <w:t>1,200,000,000 KRW</w:t>
            </w:r>
          </w:p>
        </w:tc>
      </w:tr>
      <w:tr>
        <w:tc>
          <w:tcPr>
            <w:tcW w:type="dxa" w:w="2880"/>
          </w:tcPr>
          <w:p>
            <w:r>
              <w:t>영업이익</w:t>
            </w:r>
          </w:p>
        </w:tc>
        <w:tc>
          <w:tcPr>
            <w:tcW w:type="dxa" w:w="2880"/>
          </w:tcPr>
          <w:p>
            <w:r>
              <w:t>100,000,000 KRW</w:t>
            </w:r>
          </w:p>
        </w:tc>
        <w:tc>
          <w:tcPr>
            <w:tcW w:type="dxa" w:w="2880"/>
          </w:tcPr>
          <w:p>
            <w:r>
              <w:t>120,000,000 KRW</w:t>
            </w:r>
          </w:p>
        </w:tc>
      </w:tr>
      <w:tr>
        <w:tc>
          <w:tcPr>
            <w:tcW w:type="dxa" w:w="2880"/>
          </w:tcPr>
          <w:p>
            <w:r>
              <w:t>당기순이익</w:t>
            </w:r>
          </w:p>
        </w:tc>
        <w:tc>
          <w:tcPr>
            <w:tcW w:type="dxa" w:w="2880"/>
          </w:tcPr>
          <w:p>
            <w:r>
              <w:t>60,000,000 KRW</w:t>
            </w:r>
          </w:p>
        </w:tc>
        <w:tc>
          <w:tcPr>
            <w:tcW w:type="dxa" w:w="2880"/>
          </w:tcPr>
          <w:p>
            <w:r>
              <w:t>72,000,000 KRW</w:t>
            </w:r>
          </w:p>
        </w:tc>
      </w:tr>
      <w:tr>
        <w:tc>
          <w:tcPr>
            <w:tcW w:type="dxa" w:w="2880"/>
          </w:tcPr>
          <w:p>
            <w:r>
              <w:t>자산총계</w:t>
            </w:r>
          </w:p>
        </w:tc>
        <w:tc>
          <w:tcPr>
            <w:tcW w:type="dxa" w:w="2880"/>
          </w:tcPr>
          <w:p>
            <w:r>
              <w:t>2,000,000,000 KRW</w:t>
            </w:r>
          </w:p>
        </w:tc>
        <w:tc>
          <w:tcPr>
            <w:tcW w:type="dxa" w:w="2880"/>
          </w:tcPr>
          <w:p>
            <w:r>
              <w:t>2,400,000,000 KRW</w:t>
            </w:r>
          </w:p>
        </w:tc>
      </w:tr>
      <w:tr>
        <w:tc>
          <w:tcPr>
            <w:tcW w:type="dxa" w:w="2880"/>
          </w:tcPr>
          <w:p>
            <w:r>
              <w:t>부채총계</w:t>
            </w:r>
          </w:p>
        </w:tc>
        <w:tc>
          <w:tcPr>
            <w:tcW w:type="dxa" w:w="2880"/>
          </w:tcPr>
          <w:p>
            <w:r>
              <w:t>1,200,000,000 KRW</w:t>
            </w:r>
          </w:p>
        </w:tc>
        <w:tc>
          <w:tcPr>
            <w:tcW w:type="dxa" w:w="2880"/>
          </w:tcPr>
          <w:p>
            <w:r>
              <w:t>1,440,000,000 KRW</w:t>
            </w:r>
          </w:p>
        </w:tc>
      </w:tr>
      <w:tr>
        <w:tc>
          <w:tcPr>
            <w:tcW w:type="dxa" w:w="2880"/>
          </w:tcPr>
          <w:p>
            <w:r>
              <w:t>자본총계</w:t>
            </w:r>
          </w:p>
        </w:tc>
        <w:tc>
          <w:tcPr>
            <w:tcW w:type="dxa" w:w="2880"/>
          </w:tcPr>
          <w:p>
            <w:r>
              <w:t>800,000,000 KRW</w:t>
            </w:r>
          </w:p>
        </w:tc>
        <w:tc>
          <w:tcPr>
            <w:tcW w:type="dxa" w:w="2880"/>
          </w:tcPr>
          <w:p>
            <w:r>
              <w:t>960,000,000 KRW</w:t>
            </w:r>
          </w:p>
        </w:tc>
      </w:tr>
      <w:tr>
        <w:tc>
          <w:tcPr>
            <w:tcW w:type="dxa" w:w="2880"/>
          </w:tcPr>
          <w:p>
            <w:r>
              <w:t>영업활동현금흐름</w:t>
            </w:r>
          </w:p>
        </w:tc>
        <w:tc>
          <w:tcPr>
            <w:tcW w:type="dxa" w:w="2880"/>
          </w:tcPr>
          <w:p>
            <w:r>
              <w:t>120,000,000 KRW</w:t>
            </w:r>
          </w:p>
        </w:tc>
        <w:tc>
          <w:tcPr>
            <w:tcW w:type="dxa" w:w="2880"/>
          </w:tcPr>
          <w:p>
            <w:r>
              <w:t>144,000,000 KRW</w:t>
            </w:r>
          </w:p>
        </w:tc>
      </w:tr>
      <w:tr>
        <w:tc>
          <w:tcPr>
            <w:tcW w:type="dxa" w:w="2880"/>
          </w:tcPr>
          <w:p>
            <w:r>
              <w:t>금융부채</w:t>
            </w:r>
          </w:p>
        </w:tc>
        <w:tc>
          <w:tcPr>
            <w:tcW w:type="dxa" w:w="2880"/>
          </w:tcPr>
          <w:p>
            <w:r>
              <w:t>600,000,000 KRW</w:t>
            </w:r>
          </w:p>
        </w:tc>
        <w:tc>
          <w:tcPr>
            <w:tcW w:type="dxa" w:w="2880"/>
          </w:tcPr>
          <w:p>
            <w:r>
              <w:t>720,000,000 KRW</w:t>
            </w:r>
          </w:p>
        </w:tc>
      </w:tr>
    </w:tbl>
    <w:p>
      <w:pPr>
        <w:pStyle w:val="Heading1"/>
      </w:pPr>
      <w:r>
        <w:t>3. 재무비율 및 변동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연도</w:t>
            </w:r>
          </w:p>
        </w:tc>
        <w:tc>
          <w:tcPr>
            <w:tcW w:type="dxa" w:w="1728"/>
          </w:tcPr>
          <w:p>
            <w:r>
              <w:t>지표</w:t>
            </w:r>
          </w:p>
        </w:tc>
        <w:tc>
          <w:tcPr>
            <w:tcW w:type="dxa" w:w="1728"/>
          </w:tcPr>
          <w:p>
            <w:r>
              <w:t>값</w:t>
            </w:r>
          </w:p>
        </w:tc>
        <w:tc>
          <w:tcPr>
            <w:tcW w:type="dxa" w:w="1728"/>
          </w:tcPr>
          <w:p>
            <w:r>
              <w:t>산식</w:t>
            </w:r>
          </w:p>
        </w:tc>
        <w:tc>
          <w:tcPr>
            <w:tcW w:type="dxa" w:w="1728"/>
          </w:tcPr>
          <w:p>
            <w:r>
              <w:t>상태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영업이익률</w:t>
            </w:r>
          </w:p>
        </w:tc>
        <w:tc>
          <w:tcPr>
            <w:tcW w:type="dxa" w:w="1728"/>
          </w:tcPr>
          <w:p>
            <w:r>
              <w:t>0.1000</w:t>
            </w:r>
          </w:p>
        </w:tc>
        <w:tc>
          <w:tcPr>
            <w:tcW w:type="dxa" w:w="1728"/>
          </w:tcPr>
          <w:p>
            <w:r>
              <w:t>영업이익 / 매출액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순이익률</w:t>
            </w:r>
          </w:p>
        </w:tc>
        <w:tc>
          <w:tcPr>
            <w:tcW w:type="dxa" w:w="1728"/>
          </w:tcPr>
          <w:p>
            <w:r>
              <w:t>0.0600</w:t>
            </w:r>
          </w:p>
        </w:tc>
        <w:tc>
          <w:tcPr>
            <w:tcW w:type="dxa" w:w="1728"/>
          </w:tcPr>
          <w:p>
            <w:r>
              <w:t>당기순이익 / 매출액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총자산이익률(ROA)</w:t>
            </w:r>
          </w:p>
        </w:tc>
        <w:tc>
          <w:tcPr>
            <w:tcW w:type="dxa" w:w="1728"/>
          </w:tcPr>
          <w:p>
            <w:r>
              <w:t>0.0300</w:t>
            </w:r>
          </w:p>
        </w:tc>
        <w:tc>
          <w:tcPr>
            <w:tcW w:type="dxa" w:w="1728"/>
          </w:tcPr>
          <w:p>
            <w:r>
              <w:t>당기순이익 / 평균자산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유동비율</w:t>
            </w:r>
          </w:p>
        </w:tc>
        <w:tc>
          <w:tcPr>
            <w:tcW w:type="dxa" w:w="1728"/>
          </w:tcPr>
          <w:p>
            <w:r>
              <w:t>1.4000</w:t>
            </w:r>
          </w:p>
        </w:tc>
        <w:tc>
          <w:tcPr>
            <w:tcW w:type="dxa" w:w="1728"/>
          </w:tcPr>
          <w:p>
            <w:r>
              <w:t>유동자산 / 유동부채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부채비율</w:t>
            </w:r>
          </w:p>
        </w:tc>
        <w:tc>
          <w:tcPr>
            <w:tcW w:type="dxa" w:w="1728"/>
          </w:tcPr>
          <w:p>
            <w:r>
              <w:t>1.5000</w:t>
            </w:r>
          </w:p>
        </w:tc>
        <w:tc>
          <w:tcPr>
            <w:tcW w:type="dxa" w:w="1728"/>
          </w:tcPr>
          <w:p>
            <w:r>
              <w:t>부채총계 / 자본총계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이자보상배율</w:t>
            </w:r>
          </w:p>
        </w:tc>
        <w:tc>
          <w:tcPr>
            <w:tcW w:type="dxa" w:w="1728"/>
          </w:tcPr>
          <w:p>
            <w:r>
              <w:t>5.0000</w:t>
            </w:r>
          </w:p>
        </w:tc>
        <w:tc>
          <w:tcPr>
            <w:tcW w:type="dxa" w:w="1728"/>
          </w:tcPr>
          <w:p>
            <w:r>
              <w:t>영업이익 / |이자비용|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금융부채/영업이익</w:t>
            </w:r>
          </w:p>
        </w:tc>
        <w:tc>
          <w:tcPr>
            <w:tcW w:type="dxa" w:w="1728"/>
          </w:tcPr>
          <w:p>
            <w:r>
              <w:t>6.0000</w:t>
            </w:r>
          </w:p>
        </w:tc>
        <w:tc>
          <w:tcPr>
            <w:tcW w:type="dxa" w:w="1728"/>
          </w:tcPr>
          <w:p>
            <w:r>
              <w:t>금융부채 / 영업이익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영업CF/금융부채</w:t>
            </w:r>
          </w:p>
        </w:tc>
        <w:tc>
          <w:tcPr>
            <w:tcW w:type="dxa" w:w="1728"/>
          </w:tcPr>
          <w:p>
            <w:r>
              <w:t>0.2000</w:t>
            </w:r>
          </w:p>
        </w:tc>
        <w:tc>
          <w:tcPr>
            <w:tcW w:type="dxa" w:w="1728"/>
          </w:tcPr>
          <w:p>
            <w:r>
              <w:t>영업활동현금흐름 / 금융부채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영업현금흐름률</w:t>
            </w:r>
          </w:p>
        </w:tc>
        <w:tc>
          <w:tcPr>
            <w:tcW w:type="dxa" w:w="1728"/>
          </w:tcPr>
          <w:p>
            <w:r>
              <w:t>0.1200</w:t>
            </w:r>
          </w:p>
        </w:tc>
        <w:tc>
          <w:tcPr>
            <w:tcW w:type="dxa" w:w="1728"/>
          </w:tcPr>
          <w:p>
            <w:r>
              <w:t>영업활동현금흐름 / 매출액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잉여현금흐름</w:t>
            </w:r>
          </w:p>
        </w:tc>
        <w:tc>
          <w:tcPr>
            <w:tcW w:type="dxa" w:w="1728"/>
          </w:tcPr>
          <w:p>
            <w:r>
              <w:t>80,000,000.0000</w:t>
            </w:r>
          </w:p>
        </w:tc>
        <w:tc>
          <w:tcPr>
            <w:tcW w:type="dxa" w:w="1728"/>
          </w:tcPr>
          <w:p>
            <w:r>
              <w:t>영업활동현금흐름 - |CAPEX|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매출성장률</w:t>
            </w:r>
          </w:p>
        </w:tc>
        <w:tc>
          <w:tcPr>
            <w:tcW w:type="dxa" w:w="1728"/>
          </w:tcPr>
          <w:p>
            <w:r>
              <w:t>미확인</w:t>
            </w:r>
          </w:p>
        </w:tc>
        <w:tc>
          <w:tcPr>
            <w:tcW w:type="dxa" w:w="1728"/>
          </w:tcPr>
          <w:p>
            <w:r>
              <w:t>(당기 매출 - 전기 매출) / 전기 매출</w:t>
            </w:r>
          </w:p>
        </w:tc>
        <w:tc>
          <w:tcPr>
            <w:tcW w:type="dxa" w:w="1728"/>
          </w:tcPr>
          <w:p>
            <w:r>
              <w:t>입력값 누락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영업이익률</w:t>
            </w:r>
          </w:p>
        </w:tc>
        <w:tc>
          <w:tcPr>
            <w:tcW w:type="dxa" w:w="1728"/>
          </w:tcPr>
          <w:p>
            <w:r>
              <w:t>0.1000</w:t>
            </w:r>
          </w:p>
        </w:tc>
        <w:tc>
          <w:tcPr>
            <w:tcW w:type="dxa" w:w="1728"/>
          </w:tcPr>
          <w:p>
            <w:r>
              <w:t>영업이익 / 매출액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순이익률</w:t>
            </w:r>
          </w:p>
        </w:tc>
        <w:tc>
          <w:tcPr>
            <w:tcW w:type="dxa" w:w="1728"/>
          </w:tcPr>
          <w:p>
            <w:r>
              <w:t>0.0600</w:t>
            </w:r>
          </w:p>
        </w:tc>
        <w:tc>
          <w:tcPr>
            <w:tcW w:type="dxa" w:w="1728"/>
          </w:tcPr>
          <w:p>
            <w:r>
              <w:t>당기순이익 / 매출액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총자산이익률(ROA)</w:t>
            </w:r>
          </w:p>
        </w:tc>
        <w:tc>
          <w:tcPr>
            <w:tcW w:type="dxa" w:w="1728"/>
          </w:tcPr>
          <w:p>
            <w:r>
              <w:t>0.0327</w:t>
            </w:r>
          </w:p>
        </w:tc>
        <w:tc>
          <w:tcPr>
            <w:tcW w:type="dxa" w:w="1728"/>
          </w:tcPr>
          <w:p>
            <w:r>
              <w:t>당기순이익 / 평균자산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유동비율</w:t>
            </w:r>
          </w:p>
        </w:tc>
        <w:tc>
          <w:tcPr>
            <w:tcW w:type="dxa" w:w="1728"/>
          </w:tcPr>
          <w:p>
            <w:r>
              <w:t>1.4000</w:t>
            </w:r>
          </w:p>
        </w:tc>
        <w:tc>
          <w:tcPr>
            <w:tcW w:type="dxa" w:w="1728"/>
          </w:tcPr>
          <w:p>
            <w:r>
              <w:t>유동자산 / 유동부채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부채비율</w:t>
            </w:r>
          </w:p>
        </w:tc>
        <w:tc>
          <w:tcPr>
            <w:tcW w:type="dxa" w:w="1728"/>
          </w:tcPr>
          <w:p>
            <w:r>
              <w:t>1.5000</w:t>
            </w:r>
          </w:p>
        </w:tc>
        <w:tc>
          <w:tcPr>
            <w:tcW w:type="dxa" w:w="1728"/>
          </w:tcPr>
          <w:p>
            <w:r>
              <w:t>부채총계 / 자본총계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이자보상배율</w:t>
            </w:r>
          </w:p>
        </w:tc>
        <w:tc>
          <w:tcPr>
            <w:tcW w:type="dxa" w:w="1728"/>
          </w:tcPr>
          <w:p>
            <w:r>
              <w:t>5.0000</w:t>
            </w:r>
          </w:p>
        </w:tc>
        <w:tc>
          <w:tcPr>
            <w:tcW w:type="dxa" w:w="1728"/>
          </w:tcPr>
          <w:p>
            <w:r>
              <w:t>영업이익 / |이자비용|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금융부채/영업이익</w:t>
            </w:r>
          </w:p>
        </w:tc>
        <w:tc>
          <w:tcPr>
            <w:tcW w:type="dxa" w:w="1728"/>
          </w:tcPr>
          <w:p>
            <w:r>
              <w:t>6.0000</w:t>
            </w:r>
          </w:p>
        </w:tc>
        <w:tc>
          <w:tcPr>
            <w:tcW w:type="dxa" w:w="1728"/>
          </w:tcPr>
          <w:p>
            <w:r>
              <w:t>금융부채 / 영업이익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영업CF/금융부채</w:t>
            </w:r>
          </w:p>
        </w:tc>
        <w:tc>
          <w:tcPr>
            <w:tcW w:type="dxa" w:w="1728"/>
          </w:tcPr>
          <w:p>
            <w:r>
              <w:t>0.2000</w:t>
            </w:r>
          </w:p>
        </w:tc>
        <w:tc>
          <w:tcPr>
            <w:tcW w:type="dxa" w:w="1728"/>
          </w:tcPr>
          <w:p>
            <w:r>
              <w:t>영업활동현금흐름 / 금융부채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영업현금흐름률</w:t>
            </w:r>
          </w:p>
        </w:tc>
        <w:tc>
          <w:tcPr>
            <w:tcW w:type="dxa" w:w="1728"/>
          </w:tcPr>
          <w:p>
            <w:r>
              <w:t>0.1200</w:t>
            </w:r>
          </w:p>
        </w:tc>
        <w:tc>
          <w:tcPr>
            <w:tcW w:type="dxa" w:w="1728"/>
          </w:tcPr>
          <w:p>
            <w:r>
              <w:t>영업활동현금흐름 / 매출액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잉여현금흐름</w:t>
            </w:r>
          </w:p>
        </w:tc>
        <w:tc>
          <w:tcPr>
            <w:tcW w:type="dxa" w:w="1728"/>
          </w:tcPr>
          <w:p>
            <w:r>
              <w:t>96,000,000.0000</w:t>
            </w:r>
          </w:p>
        </w:tc>
        <w:tc>
          <w:tcPr>
            <w:tcW w:type="dxa" w:w="1728"/>
          </w:tcPr>
          <w:p>
            <w:r>
              <w:t>영업활동현금흐름 - |CAPEX|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매출성장률</w:t>
            </w:r>
          </w:p>
        </w:tc>
        <w:tc>
          <w:tcPr>
            <w:tcW w:type="dxa" w:w="1728"/>
          </w:tcPr>
          <w:p>
            <w:r>
              <w:t>0.2000</w:t>
            </w:r>
          </w:p>
        </w:tc>
        <w:tc>
          <w:tcPr>
            <w:tcW w:type="dxa" w:w="1728"/>
          </w:tcPr>
          <w:p>
            <w:r>
              <w:t>(당기 매출 - 전기 매출) / 전기 매출</w:t>
            </w:r>
          </w:p>
        </w:tc>
        <w:tc>
          <w:tcPr>
            <w:tcW w:type="dxa" w:w="1728"/>
          </w:tcPr>
          <w:p>
            <w:r>
              <w:t>계산됨</w:t>
            </w:r>
          </w:p>
        </w:tc>
      </w:tr>
    </w:tbl>
    <w:p>
      <w:pPr>
        <w:pStyle w:val="Heading2"/>
      </w:pPr>
      <w:r>
        <w:t>관찰된 사실</w:t>
      </w:r>
    </w:p>
    <w:p>
      <w:pPr>
        <w:pStyle w:val="ListBullet"/>
      </w:pPr>
      <w:r>
        <w:t>FY2024 매출은(는) 20.0%입니다.</w:t>
      </w:r>
    </w:p>
    <w:p>
      <w:pPr>
        <w:pStyle w:val="ListBullet"/>
      </w:pPr>
      <w:r>
        <w:t>FY2024 영업이익률은(는) 10.0%입니다.</w:t>
      </w:r>
    </w:p>
    <w:p>
      <w:pPr>
        <w:pStyle w:val="ListBullet"/>
      </w:pPr>
      <w:r>
        <w:t>FY2024 유동비율은(는) 1.40배입니다.</w:t>
      </w:r>
    </w:p>
    <w:p>
      <w:pPr>
        <w:pStyle w:val="ListBullet"/>
      </w:pPr>
      <w:r>
        <w:t>FY2024 부채비율은(는) 150.0%입니다.</w:t>
      </w:r>
    </w:p>
    <w:p>
      <w:pPr>
        <w:pStyle w:val="ListBullet"/>
      </w:pPr>
      <w:r>
        <w:t>FY2024 영업CF/금융부채은(는) 20.0%입니다.</w:t>
      </w:r>
    </w:p>
    <w:p>
      <w:pPr>
        <w:pStyle w:val="Heading2"/>
      </w:pPr>
      <w:r>
        <w:t>해석</w:t>
      </w:r>
    </w:p>
    <w:p>
      <w:pPr>
        <w:pStyle w:val="ListBullet"/>
      </w:pPr>
      <w:r>
        <w:t>변동 원인은 주석 또는 경영진 설명 근거가 확보되기 전까지 미확인입니다.</w:t>
      </w:r>
    </w:p>
    <w:p>
      <w:pPr>
        <w:pStyle w:val="Heading1"/>
      </w:pPr>
      <w:r>
        <w:t>4. 주요 검토사항</w:t>
      </w:r>
    </w:p>
    <w:p>
      <w:pPr>
        <w:pStyle w:val="ListBullet"/>
      </w:pPr>
      <w:r>
        <w:t>누락값과 검증 경고를 먼저 해소한 뒤 최종 판단하십시오.</w:t>
      </w:r>
    </w:p>
    <w:p>
      <w:pPr>
        <w:pStyle w:val="ListBullet"/>
      </w:pPr>
      <w:r>
        <w:t>[정보] FY2023 현금흐름 연결 항목이 부족하여 기초·기말 현금을 검증하지 못했습니다.</w:t>
      </w:r>
    </w:p>
    <w:p>
      <w:pPr>
        <w:pStyle w:val="ListBullet"/>
      </w:pPr>
      <w:r>
        <w:t>[정보] FY2024 현금흐름 연결 항목이 부족하여 기초·기말 현금을 검증하지 못했습니다.</w:t>
      </w:r>
    </w:p>
    <w:p>
      <w:pPr>
        <w:pStyle w:val="Heading1"/>
      </w:pPr>
      <w:r>
        <w:t>5. 누락 자료와 분석 한계</w:t>
      </w:r>
    </w:p>
    <w:p>
      <w:pPr>
        <w:pStyle w:val="ListBullet"/>
      </w:pPr>
      <w:r>
        <w:t>확인되지 않은 값은 0이 아닌 미확인으로 처리했습니다.</w:t>
      </w:r>
    </w:p>
    <w:p>
      <w:pPr>
        <w:pStyle w:val="ListBullet"/>
      </w:pPr>
      <w:r>
        <w:t>원인 설명은 주석·공시 근거가 없는 경우 확정하지 않았습니다.</w:t>
      </w:r>
    </w:p>
    <w:p>
      <w:pPr>
        <w:pStyle w:val="Heading1"/>
      </w:pPr>
      <w:r>
        <w:t>6. 출처</w:t>
      </w:r>
    </w:p>
    <w:p>
      <w:r>
        <w:t xml:space="preserve">synthetic.csv | - | 수집일 2026-09-23T08:49:58+00:00 |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