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账户登录</w:t>
      </w:r>
    </w:p>
    <w:p>
      <w:r>
        <w:t>用户必须输入密码后才能登录。</w:t>
      </w:r>
    </w:p>
    <w:tbl>
      <w:tr>
        <w:tc>
          <w:p>
            <w:r>
              <w:t>条件</w:t>
            </w:r>
          </w:p>
        </w:tc>
        <w:tc>
          <w:p>
            <w:r>
              <w:t>结果</w:t>
            </w:r>
          </w:p>
        </w:tc>
      </w:tr>
      <w:tr>
        <w:tc>
          <w:p>
            <w:r>
              <w:t>密码为空</w:t>
            </w:r>
          </w:p>
        </w:tc>
        <w:tc>
          <w:p>
            <w:r>
              <w:t>拒绝登录</w:t>
            </w:r>
          </w:p>
        </w:tc>
      </w:tr>
    </w:tbl>
  </w:body>
</w:document>
</file>

<file path=word/header1.xml><?xml version="1.0" encoding="utf-8"?>
<w:hdr xmlns:w="http://schemas.openxmlformats.org/wordprocessingml/2006/main">
  <w:p>
    <w:r>
      <w:t>Header information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