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Belleza" w:cs="Belleza" w:eastAsia="Belleza" w:hAnsi="Belleza"/>
          <w:sz w:val="28"/>
          <w:szCs w:val="28"/>
        </w:rPr>
      </w:pPr>
      <w:r w:rsidDel="00000000" w:rsidR="00000000" w:rsidRPr="00000000">
        <w:rPr>
          <w:rFonts w:ascii="Belleza" w:cs="Belleza" w:eastAsia="Belleza" w:hAnsi="Belleza"/>
          <w:sz w:val="28"/>
          <w:szCs w:val="28"/>
          <w:rtl w:val="0"/>
        </w:rPr>
        <w:t xml:space="preserve">Office of Institutional Effectiveness</w:t>
      </w:r>
    </w:p>
    <w:p w:rsidR="00000000" w:rsidDel="00000000" w:rsidP="00000000" w:rsidRDefault="00000000" w:rsidRPr="00000000" w14:paraId="00000002">
      <w:pPr>
        <w:spacing w:after="0" w:lineRule="auto"/>
        <w:rPr>
          <w:rFonts w:ascii="Belleza" w:cs="Belleza" w:eastAsia="Belleza" w:hAnsi="Belleza"/>
          <w:sz w:val="28"/>
          <w:szCs w:val="28"/>
        </w:rPr>
      </w:pPr>
      <w:r w:rsidDel="00000000" w:rsidR="00000000" w:rsidRPr="00000000">
        <w:rPr>
          <w:rFonts w:ascii="Belleza" w:cs="Belleza" w:eastAsia="Belleza" w:hAnsi="Belleza"/>
          <w:sz w:val="28"/>
          <w:szCs w:val="28"/>
          <w:rtl w:val="0"/>
        </w:rPr>
        <w:t xml:space="preserve">Rice Outcome Assessment Report (ROAR) for Academic Programs</w:t>
      </w:r>
    </w:p>
    <w:p w:rsidR="00000000" w:rsidDel="00000000" w:rsidP="00000000" w:rsidRDefault="00000000" w:rsidRPr="00000000" w14:paraId="00000003">
      <w:pPr>
        <w:spacing w:after="0" w:lineRule="auto"/>
        <w:rPr>
          <w:rFonts w:ascii="Belleza" w:cs="Belleza" w:eastAsia="Belleza" w:hAnsi="Belleza"/>
          <w:sz w:val="28"/>
          <w:szCs w:val="28"/>
        </w:rPr>
      </w:pPr>
      <w:r w:rsidDel="00000000" w:rsidR="00000000" w:rsidRPr="00000000">
        <w:rPr>
          <w:rtl w:val="0"/>
        </w:rPr>
      </w:r>
    </w:p>
    <w:p w:rsidR="00000000" w:rsidDel="00000000" w:rsidP="00000000" w:rsidRDefault="00000000" w:rsidRPr="00000000" w14:paraId="00000004">
      <w:pPr>
        <w:spacing w:after="0" w:lineRule="auto"/>
        <w:rPr>
          <w:rFonts w:ascii="Belleza" w:cs="Belleza" w:eastAsia="Belleza" w:hAnsi="Belleza"/>
          <w:sz w:val="28"/>
          <w:szCs w:val="28"/>
        </w:rPr>
      </w:pPr>
      <w:r w:rsidDel="00000000" w:rsidR="00000000" w:rsidRPr="00000000">
        <w:rPr>
          <w:rFonts w:ascii="Belleza" w:cs="Belleza" w:eastAsia="Belleza" w:hAnsi="Belleza"/>
          <w:sz w:val="28"/>
          <w:szCs w:val="28"/>
          <w:rtl w:val="0"/>
        </w:rPr>
        <w:t xml:space="preserve">Initial Report PLO 1</w:t>
      </w:r>
    </w:p>
    <w:p w:rsidR="00000000" w:rsidDel="00000000" w:rsidP="00000000" w:rsidRDefault="00000000" w:rsidRPr="00000000" w14:paraId="00000005">
      <w:pPr>
        <w:spacing w:after="0"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06">
      <w:pPr>
        <w:spacing w:after="0"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Department/Academic Program:  Anthropology</w:t>
      </w:r>
    </w:p>
    <w:p w:rsidR="00000000" w:rsidDel="00000000" w:rsidP="00000000" w:rsidRDefault="00000000" w:rsidRPr="00000000" w14:paraId="00000007">
      <w:pPr>
        <w:spacing w:after="0" w:lineRule="auto"/>
        <w:rPr>
          <w:rFonts w:ascii="Libre Franklin Medium" w:cs="Libre Franklin Medium" w:eastAsia="Libre Franklin Medium" w:hAnsi="Libre Franklin Medium"/>
        </w:rPr>
      </w:pPr>
      <w:r w:rsidDel="00000000" w:rsidR="00000000" w:rsidRPr="00000000">
        <w:rPr>
          <w:rtl w:val="0"/>
        </w:rPr>
      </w:r>
    </w:p>
    <w:p w:rsidR="00000000" w:rsidDel="00000000" w:rsidP="00000000" w:rsidRDefault="00000000" w:rsidRPr="00000000" w14:paraId="00000008">
      <w:pPr>
        <w:spacing w:after="0"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Primary Contact (Name/Phone/E-mail): Gökçe Günel, (713) 348-3117, gg15@rice.edu</w:t>
      </w:r>
    </w:p>
    <w:p w:rsidR="00000000" w:rsidDel="00000000" w:rsidP="00000000" w:rsidRDefault="00000000" w:rsidRPr="00000000" w14:paraId="00000009">
      <w:pPr>
        <w:rPr>
          <w:rFonts w:ascii="Helvetica Neue" w:cs="Helvetica Neue" w:eastAsia="Helvetica Neue" w:hAnsi="Helvetica Neue"/>
          <w:b w:val="1"/>
          <w:sz w:val="24"/>
          <w:szCs w:val="24"/>
        </w:rPr>
      </w:pPr>
      <w:r w:rsidDel="00000000" w:rsidR="00000000" w:rsidRPr="00000000">
        <w:rPr>
          <w:rtl w:val="0"/>
        </w:rPr>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8539"/>
        <w:tblGridChange w:id="0">
          <w:tblGrid>
            <w:gridCol w:w="2251"/>
            <w:gridCol w:w="8539"/>
          </w:tblGrid>
        </w:tblGridChange>
      </w:tblGrid>
      <w:tr>
        <w:trPr>
          <w:cantSplit w:val="0"/>
          <w:tblHeader w:val="0"/>
        </w:trPr>
        <w:tc>
          <w:tcPr>
            <w:gridSpan w:val="2"/>
            <w:shd w:fill="e6e6e6" w:val="clear"/>
          </w:tcPr>
          <w:p w:rsidR="00000000" w:rsidDel="00000000" w:rsidP="00000000" w:rsidRDefault="00000000" w:rsidRPr="00000000" w14:paraId="0000000A">
            <w:pPr>
              <w:rPr>
                <w:rFonts w:ascii="Belleza" w:cs="Belleza" w:eastAsia="Belleza" w:hAnsi="Belleza"/>
              </w:rPr>
            </w:pPr>
            <w:r w:rsidDel="00000000" w:rsidR="00000000" w:rsidRPr="00000000">
              <w:rPr>
                <w:rFonts w:ascii="Belleza" w:cs="Belleza" w:eastAsia="Belleza" w:hAnsi="Belleza"/>
                <w:rtl w:val="0"/>
              </w:rPr>
              <w:t xml:space="preserve">2023–2024</w:t>
            </w:r>
          </w:p>
        </w:tc>
      </w:tr>
      <w:tr>
        <w:trPr>
          <w:cantSplit w:val="0"/>
          <w:tblHeader w:val="0"/>
        </w:trPr>
        <w:tc>
          <w:tcPr>
            <w:shd w:fill="e6e6e6" w:val="clear"/>
          </w:tcPr>
          <w:p w:rsidR="00000000" w:rsidDel="00000000" w:rsidP="00000000" w:rsidRDefault="00000000" w:rsidRPr="00000000" w14:paraId="0000000C">
            <w:pPr>
              <w:spacing w:after="0" w:lineRule="auto"/>
              <w:rPr>
                <w:rFonts w:ascii="Belleza" w:cs="Belleza" w:eastAsia="Belleza" w:hAnsi="Belleza"/>
              </w:rPr>
            </w:pPr>
            <w:r w:rsidDel="00000000" w:rsidR="00000000" w:rsidRPr="00000000">
              <w:rPr>
                <w:rFonts w:ascii="Belleza" w:cs="Belleza" w:eastAsia="Belleza" w:hAnsi="Belleza"/>
                <w:rtl w:val="0"/>
              </w:rPr>
              <w:t xml:space="preserve">Program Learning Outcome</w:t>
            </w:r>
          </w:p>
          <w:p w:rsidR="00000000" w:rsidDel="00000000" w:rsidP="00000000" w:rsidRDefault="00000000" w:rsidRPr="00000000" w14:paraId="0000000D">
            <w:pPr>
              <w:spacing w:after="0" w:lineRule="auto"/>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0E">
            <w:pPr>
              <w:spacing w:after="0" w:lineRule="auto"/>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Specific program learning outcome(s) listed in the General Announcements</w:t>
            </w:r>
          </w:p>
          <w:p w:rsidR="00000000" w:rsidDel="00000000" w:rsidP="00000000" w:rsidRDefault="00000000" w:rsidRPr="00000000" w14:paraId="0000000F">
            <w:pPr>
              <w:rPr>
                <w:rFonts w:ascii="Libre Franklin" w:cs="Libre Franklin" w:eastAsia="Libre Franklin" w:hAnsi="Libre Franklin"/>
                <w:sz w:val="20"/>
                <w:szCs w:val="20"/>
              </w:rPr>
            </w:pPr>
            <w:r w:rsidDel="00000000" w:rsidR="00000000" w:rsidRPr="00000000">
              <w:rPr>
                <w:rtl w:val="0"/>
              </w:rPr>
            </w:r>
          </w:p>
        </w:tc>
        <w:tc>
          <w:tcPr/>
          <w:p w:rsidR="00000000" w:rsidDel="00000000" w:rsidP="00000000" w:rsidRDefault="00000000" w:rsidRPr="00000000" w14:paraId="00000010">
            <w:pPr>
              <w:spacing w:after="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t xml:space="preserve">1. </w:t>
              <w:tab/>
              <w:t xml:space="preserve">Have developed the skills to pursue various professional endeavors within and outside the academy successfully.</w:t>
            </w:r>
          </w:p>
          <w:p w:rsidR="00000000" w:rsidDel="00000000" w:rsidP="00000000" w:rsidRDefault="00000000" w:rsidRPr="00000000" w14:paraId="00000012">
            <w:pPr>
              <w:rPr/>
            </w:pPr>
            <w:r w:rsidDel="00000000" w:rsidR="00000000" w:rsidRPr="00000000">
              <w:rPr>
                <w:rtl w:val="0"/>
              </w:rPr>
            </w:r>
          </w:p>
        </w:tc>
      </w:tr>
      <w:tr>
        <w:trPr>
          <w:cantSplit w:val="0"/>
          <w:tblHeader w:val="0"/>
        </w:trPr>
        <w:tc>
          <w:tcPr>
            <w:shd w:fill="e6e6e6" w:val="clear"/>
          </w:tcPr>
          <w:p w:rsidR="00000000" w:rsidDel="00000000" w:rsidP="00000000" w:rsidRDefault="00000000" w:rsidRPr="00000000" w14:paraId="00000013">
            <w:pPr>
              <w:spacing w:after="0" w:lineRule="auto"/>
              <w:rPr>
                <w:rFonts w:ascii="Belleza" w:cs="Belleza" w:eastAsia="Belleza" w:hAnsi="Belleza"/>
              </w:rPr>
            </w:pPr>
            <w:r w:rsidDel="00000000" w:rsidR="00000000" w:rsidRPr="00000000">
              <w:rPr>
                <w:rFonts w:ascii="Belleza" w:cs="Belleza" w:eastAsia="Belleza" w:hAnsi="Belleza"/>
                <w:rtl w:val="0"/>
              </w:rPr>
              <w:t xml:space="preserve">Methods</w:t>
            </w:r>
          </w:p>
          <w:p w:rsidR="00000000" w:rsidDel="00000000" w:rsidP="00000000" w:rsidRDefault="00000000" w:rsidRPr="00000000" w14:paraId="00000014">
            <w:pPr>
              <w:spacing w:after="0" w:lineRule="auto"/>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15">
            <w:pPr>
              <w:spacing w:after="0" w:lineRule="auto"/>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What kind of direct assessment did you use? (i.e. describe how you selected the sample of work that was assessed, the rubric used, etc. Best practices and SACSCOC requires the use of direct assessment.) </w:t>
            </w:r>
          </w:p>
          <w:p w:rsidR="00000000" w:rsidDel="00000000" w:rsidP="00000000" w:rsidRDefault="00000000" w:rsidRPr="00000000" w14:paraId="00000016">
            <w:pPr>
              <w:spacing w:after="0" w:lineRule="auto"/>
              <w:rPr>
                <w:rFonts w:ascii="Libre Franklin" w:cs="Libre Franklin" w:eastAsia="Libre Franklin" w:hAnsi="Libre Franklin"/>
                <w:sz w:val="20"/>
                <w:szCs w:val="20"/>
              </w:rPr>
            </w:pPr>
            <w:r w:rsidDel="00000000" w:rsidR="00000000" w:rsidRPr="00000000">
              <w:rPr>
                <w:rtl w:val="0"/>
              </w:rPr>
            </w:r>
          </w:p>
          <w:p w:rsidR="00000000" w:rsidDel="00000000" w:rsidP="00000000" w:rsidRDefault="00000000" w:rsidRPr="00000000" w14:paraId="00000017">
            <w:pPr>
              <w:spacing w:after="0" w:lineRule="auto"/>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If you also used indirect assessment, please describe that as well.</w:t>
            </w:r>
          </w:p>
          <w:p w:rsidR="00000000" w:rsidDel="00000000" w:rsidP="00000000" w:rsidRDefault="00000000" w:rsidRPr="00000000" w14:paraId="00000018">
            <w:pPr>
              <w:rPr>
                <w:rFonts w:ascii="Helvetica Neue" w:cs="Helvetica Neue" w:eastAsia="Helvetica Neue" w:hAnsi="Helvetica Neue"/>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0" w:lineRule="auto"/>
              <w:rPr/>
            </w:pPr>
            <w:r w:rsidDel="00000000" w:rsidR="00000000" w:rsidRPr="00000000">
              <w:rPr>
                <w:rtl w:val="0"/>
              </w:rPr>
              <w:t xml:space="preserve">1. Students will be evaluated directly by their dissertation committees on their mock job talk (meant to replicate an academic presentation for a tenure-track position in cultural anthropology). An evaluation rubric will be provided to each faculty member, and they will grade, on a scale of one to five, whether the student showed capacity in articulating research objectives and outcomes in an oral presentation; whether they demonstrated an ability to respond to oral questions with analytic and verbal sophistication and if they created a rich and engaging visual and oral presentation of research.</w:t>
            </w:r>
          </w:p>
          <w:p w:rsidR="00000000" w:rsidDel="00000000" w:rsidP="00000000" w:rsidRDefault="00000000" w:rsidRPr="00000000" w14:paraId="0000001A">
            <w:pPr>
              <w:spacing w:after="0" w:lineRule="auto"/>
              <w:rPr/>
            </w:pPr>
            <w:r w:rsidDel="00000000" w:rsidR="00000000" w:rsidRPr="00000000">
              <w:rPr>
                <w:rtl w:val="0"/>
              </w:rPr>
              <w:t xml:space="preserve"> </w:t>
            </w:r>
          </w:p>
          <w:p w:rsidR="00000000" w:rsidDel="00000000" w:rsidP="00000000" w:rsidRDefault="00000000" w:rsidRPr="00000000" w14:paraId="0000001B">
            <w:pPr>
              <w:spacing w:after="0" w:lineRule="auto"/>
              <w:rPr/>
            </w:pPr>
            <w:r w:rsidDel="00000000" w:rsidR="00000000" w:rsidRPr="00000000">
              <w:rPr>
                <w:rtl w:val="0"/>
              </w:rPr>
              <w:t xml:space="preserve">2. Each third-year student’s undergraduate syllabus will be evaluated by the DGS and their dissertation chair to determine whether they have identified an important topic for instruction within the discipline; if they have created an accessible and rigorous set of readings for an undergraduate syllabus and whether they developed engaging exercises appropriate to the topic and pedagogical level of an undergraduate syllabus.</w:t>
            </w:r>
          </w:p>
        </w:tc>
      </w:tr>
      <w:tr>
        <w:trPr>
          <w:cantSplit w:val="0"/>
          <w:tblHeader w:val="0"/>
        </w:trPr>
        <w:tc>
          <w:tcPr>
            <w:shd w:fill="e6e6e6" w:val="clear"/>
          </w:tcPr>
          <w:p w:rsidR="00000000" w:rsidDel="00000000" w:rsidP="00000000" w:rsidRDefault="00000000" w:rsidRPr="00000000" w14:paraId="0000001C">
            <w:pPr>
              <w:spacing w:after="0" w:lineRule="auto"/>
              <w:rPr>
                <w:rFonts w:ascii="Belleza" w:cs="Belleza" w:eastAsia="Belleza" w:hAnsi="Belleza"/>
              </w:rPr>
            </w:pPr>
            <w:r w:rsidDel="00000000" w:rsidR="00000000" w:rsidRPr="00000000">
              <w:rPr>
                <w:rFonts w:ascii="Belleza" w:cs="Belleza" w:eastAsia="Belleza" w:hAnsi="Belleza"/>
                <w:rtl w:val="0"/>
              </w:rPr>
              <w:t xml:space="preserve">Results and Conclusions</w:t>
            </w:r>
          </w:p>
          <w:p w:rsidR="00000000" w:rsidDel="00000000" w:rsidP="00000000" w:rsidRDefault="00000000" w:rsidRPr="00000000" w14:paraId="0000001D">
            <w:pPr>
              <w:spacing w:after="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E">
            <w:pPr>
              <w:spacing w:after="0" w:lineRule="auto"/>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What were the results of your evaluation?</w:t>
            </w:r>
          </w:p>
          <w:p w:rsidR="00000000" w:rsidDel="00000000" w:rsidP="00000000" w:rsidRDefault="00000000" w:rsidRPr="00000000" w14:paraId="0000001F">
            <w:pPr>
              <w:rPr>
                <w:rFonts w:ascii="Helvetica Neue" w:cs="Helvetica Neue" w:eastAsia="Helvetica Neue" w:hAnsi="Helvetica Neue"/>
                <w:sz w:val="20"/>
                <w:szCs w:val="20"/>
              </w:rPr>
            </w:pPr>
            <w:r w:rsidDel="00000000" w:rsidR="00000000" w:rsidRPr="00000000">
              <w:rPr>
                <w:rtl w:val="0"/>
              </w:rPr>
            </w:r>
          </w:p>
        </w:tc>
        <w:tc>
          <w:tcPr/>
          <w:p w:rsidR="00000000" w:rsidDel="00000000" w:rsidP="00000000" w:rsidRDefault="00000000" w:rsidRPr="00000000" w14:paraId="00000020">
            <w:pPr>
              <w:spacing w:after="0" w:lineRule="auto"/>
              <w:rPr/>
            </w:pPr>
            <w:r w:rsidDel="00000000" w:rsidR="00000000" w:rsidRPr="00000000">
              <w:rPr>
                <w:rtl w:val="0"/>
              </w:rPr>
              <w:t xml:space="preserve">For (1), committee members answered three complementary questions. (a) “Showed capacity in articulating research objectives and outcomes in an oral presentation.” The cumulative score across four presentations was 4.2 (or 84%). (b) “Demonstrated ability to respond to oral questions with analytic and verbal sophistication.” The cumulative score across four presentations was 4.1 (or 82%). (c) “Developed a rich and engaging visual and oral presentation of research.”  The cumulative score across four presentations was 4.1 (or 82%) </w:t>
            </w:r>
            <w:r w:rsidDel="00000000" w:rsidR="00000000" w:rsidRPr="00000000">
              <w:rPr>
                <w:rtl w:val="0"/>
              </w:rPr>
              <w:t xml:space="preserve">All outcomes exceed the threshold of 80% of students who achieve a score of 3.5 (or better).</w:t>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For (2) each of the five undergraduate syllabi individually produced by third-year graduate students in the program was evaluated for the above criteria by their dissertation committees. The cumulative score across all five syllabi reviewed wa</w:t>
            </w:r>
            <w:r w:rsidDel="00000000" w:rsidR="00000000" w:rsidRPr="00000000">
              <w:rPr>
                <w:rtl w:val="0"/>
              </w:rPr>
              <w:t xml:space="preserve">s 4.6  (or 92%), which exceeds the threshold of 80% of students who achieve a score of 3.5 (or better).</w:t>
            </w:r>
            <w:r w:rsidDel="00000000" w:rsidR="00000000" w:rsidRPr="00000000">
              <w:rPr>
                <w:rtl w:val="0"/>
              </w:rPr>
            </w:r>
          </w:p>
        </w:tc>
      </w:tr>
      <w:tr>
        <w:trPr>
          <w:cantSplit w:val="0"/>
          <w:tblHeader w:val="0"/>
        </w:trPr>
        <w:tc>
          <w:tcPr>
            <w:shd w:fill="e6e6e6" w:val="clear"/>
          </w:tcPr>
          <w:p w:rsidR="00000000" w:rsidDel="00000000" w:rsidP="00000000" w:rsidRDefault="00000000" w:rsidRPr="00000000" w14:paraId="00000023">
            <w:pPr>
              <w:spacing w:after="0" w:lineRule="auto"/>
              <w:rPr>
                <w:rFonts w:ascii="Belleza" w:cs="Belleza" w:eastAsia="Belleza" w:hAnsi="Belleza"/>
              </w:rPr>
            </w:pPr>
            <w:r w:rsidDel="00000000" w:rsidR="00000000" w:rsidRPr="00000000">
              <w:rPr>
                <w:rFonts w:ascii="Belleza" w:cs="Belleza" w:eastAsia="Belleza" w:hAnsi="Belleza"/>
                <w:rtl w:val="0"/>
              </w:rPr>
              <w:t xml:space="preserve">Improvement Plan</w:t>
            </w:r>
          </w:p>
          <w:p w:rsidR="00000000" w:rsidDel="00000000" w:rsidP="00000000" w:rsidRDefault="00000000" w:rsidRPr="00000000" w14:paraId="00000024">
            <w:pPr>
              <w:spacing w:after="0" w:lineRule="auto"/>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25">
            <w:pPr>
              <w:spacing w:after="0" w:lineRule="auto"/>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Based on your results, what changes (if any) will you make?</w:t>
            </w:r>
          </w:p>
          <w:p w:rsidR="00000000" w:rsidDel="00000000" w:rsidP="00000000" w:rsidRDefault="00000000" w:rsidRPr="00000000" w14:paraId="00000026">
            <w:pPr>
              <w:spacing w:after="0" w:lineRule="auto"/>
              <w:rPr>
                <w:rFonts w:ascii="Libre Franklin" w:cs="Libre Franklin" w:eastAsia="Libre Franklin" w:hAnsi="Libre Franklin"/>
                <w:sz w:val="20"/>
                <w:szCs w:val="20"/>
              </w:rPr>
            </w:pPr>
            <w:r w:rsidDel="00000000" w:rsidR="00000000" w:rsidRPr="00000000">
              <w:rPr>
                <w:rtl w:val="0"/>
              </w:rPr>
            </w:r>
          </w:p>
          <w:p w:rsidR="00000000" w:rsidDel="00000000" w:rsidP="00000000" w:rsidRDefault="00000000" w:rsidRPr="00000000" w14:paraId="00000027">
            <w:pPr>
              <w:spacing w:after="0" w:lineRule="auto"/>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What is your timeline to make these changes?</w:t>
            </w:r>
          </w:p>
          <w:p w:rsidR="00000000" w:rsidDel="00000000" w:rsidP="00000000" w:rsidRDefault="00000000" w:rsidRPr="00000000" w14:paraId="00000028">
            <w:pPr>
              <w:spacing w:after="0" w:lineRule="auto"/>
              <w:rPr>
                <w:rFonts w:ascii="Libre Franklin" w:cs="Libre Franklin" w:eastAsia="Libre Franklin" w:hAnsi="Libre Franklin"/>
                <w:sz w:val="20"/>
                <w:szCs w:val="20"/>
              </w:rPr>
            </w:pPr>
            <w:r w:rsidDel="00000000" w:rsidR="00000000" w:rsidRPr="00000000">
              <w:rPr>
                <w:rtl w:val="0"/>
              </w:rPr>
            </w:r>
          </w:p>
          <w:p w:rsidR="00000000" w:rsidDel="00000000" w:rsidP="00000000" w:rsidRDefault="00000000" w:rsidRPr="00000000" w14:paraId="00000029">
            <w:pPr>
              <w:spacing w:after="0" w:lineRule="auto"/>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What is your timeline for assessing the impact of these changes?</w:t>
            </w:r>
          </w:p>
          <w:p w:rsidR="00000000" w:rsidDel="00000000" w:rsidP="00000000" w:rsidRDefault="00000000" w:rsidRPr="00000000" w14:paraId="0000002A">
            <w:pPr>
              <w:rPr>
                <w:rFonts w:ascii="Helvetica Neue" w:cs="Helvetica Neue" w:eastAsia="Helvetica Neue" w:hAnsi="Helvetica Neue"/>
                <w:sz w:val="20"/>
                <w:szCs w:val="20"/>
              </w:rPr>
            </w:pPr>
            <w:r w:rsidDel="00000000" w:rsidR="00000000" w:rsidRPr="00000000">
              <w:rPr>
                <w:rtl w:val="0"/>
              </w:rPr>
            </w:r>
          </w:p>
        </w:tc>
        <w:tc>
          <w:tcPr/>
          <w:p w:rsidR="00000000" w:rsidDel="00000000" w:rsidP="00000000" w:rsidRDefault="00000000" w:rsidRPr="00000000" w14:paraId="0000002B">
            <w:pPr>
              <w:spacing w:after="0" w:lineRule="auto"/>
              <w:rPr/>
            </w:pPr>
            <w:r w:rsidDel="00000000" w:rsidR="00000000" w:rsidRPr="00000000">
              <w:rPr>
                <w:rtl w:val="0"/>
              </w:rPr>
              <w:t xml:space="preserve">For (1) no changes are needed at the present time. In AY 24-25 we will continue to hold mock job talks that the student’s committees will evaluate. </w:t>
            </w:r>
          </w:p>
          <w:p w:rsidR="00000000" w:rsidDel="00000000" w:rsidP="00000000" w:rsidRDefault="00000000" w:rsidRPr="00000000" w14:paraId="0000002C">
            <w:pPr>
              <w:spacing w:after="0" w:lineRule="auto"/>
              <w:rPr/>
            </w:pPr>
            <w:r w:rsidDel="00000000" w:rsidR="00000000" w:rsidRPr="00000000">
              <w:rPr>
                <w:rtl w:val="0"/>
              </w:rPr>
              <w:t xml:space="preserve">For (2) no changes are needed at this time. </w:t>
            </w:r>
          </w:p>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0" w:lineRule="auto"/>
              <w:rPr>
                <w:rFonts w:ascii="Calibri" w:cs="Calibri" w:eastAsia="Calibri" w:hAnsi="Calibri"/>
                <w:color w:val="0000ff"/>
                <w:sz w:val="24"/>
                <w:szCs w:val="24"/>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Belleza">
    <w:embedRegular w:fontKey="{00000000-0000-0000-0000-000000000000}" r:id="rId1" w:subsetted="0"/>
  </w:font>
  <w:font w:name="Libre Franklin">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Book Antiqua">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Libre Franklin Medium">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Helvetica Neue">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sz w:val="22"/>
        <w:szCs w:val="22"/>
        <w:lang w:val="en-US"/>
      </w:rPr>
    </w:rPrDefault>
    <w:pPrDefault>
      <w:pPr>
        <w:spacing w:after="2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Helvetica Neue" w:cs="Helvetica Neue" w:eastAsia="Helvetica Neue" w:hAnsi="Helvetica Neue"/>
      <w:b w:val="1"/>
      <w:i w:val="0"/>
      <w:smallCaps w:val="0"/>
      <w:strike w:val="0"/>
      <w:color w:val="000000"/>
      <w:sz w:val="22"/>
      <w:szCs w:val="22"/>
      <w:u w:val="none"/>
      <w:shd w:fill="auto" w:val="clear"/>
      <w:vertAlign w:val="baseline"/>
    </w:rPr>
  </w:style>
  <w:style w:type="paragraph" w:styleId="Heading2">
    <w:name w:val="heading 2"/>
    <w:basedOn w:val="Normal"/>
    <w:next w:val="Normal"/>
    <w:pPr>
      <w:widowControl w:val="0"/>
      <w:ind w:left="-360"/>
    </w:pPr>
    <w:rPr>
      <w:rFonts w:ascii="Helvetica Neue" w:cs="Helvetica Neue" w:eastAsia="Helvetica Neue" w:hAnsi="Helvetica Neue"/>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53558"/>
    <w:pPr>
      <w:spacing w:after="240"/>
      <w:contextualSpacing w:val="1"/>
    </w:pPr>
    <w:rPr>
      <w:rFonts w:ascii="Book Antiqua" w:cs="Times New Roman" w:hAnsi="Book Antiqua"/>
      <w:sz w:val="22"/>
    </w:rPr>
  </w:style>
  <w:style w:type="paragraph" w:styleId="Heading1">
    <w:name w:val="heading 1"/>
    <w:next w:val="Normal"/>
    <w:link w:val="Heading1Char"/>
    <w:uiPriority w:val="9"/>
    <w:qFormat w:val="1"/>
    <w:rsid w:val="0052520A"/>
    <w:pPr>
      <w:keepNext w:val="1"/>
      <w:keepLines w:val="1"/>
      <w:spacing w:after="120"/>
      <w:outlineLvl w:val="0"/>
    </w:pPr>
    <w:rPr>
      <w:rFonts w:ascii="Helvetica Neue" w:hAnsi="Helvetica Neue" w:cstheme="majorBidi" w:eastAsiaTheme="majorEastAsia"/>
      <w:b w:val="1"/>
      <w:bCs w:val="1"/>
      <w:sz w:val="22"/>
      <w:szCs w:val="32"/>
    </w:rPr>
  </w:style>
  <w:style w:type="paragraph" w:styleId="Heading2">
    <w:name w:val="heading 2"/>
    <w:aliases w:val="Title 2"/>
    <w:basedOn w:val="Normal"/>
    <w:next w:val="Normal"/>
    <w:link w:val="Heading2Char"/>
    <w:uiPriority w:val="9"/>
    <w:unhideWhenUsed w:val="1"/>
    <w:qFormat w:val="1"/>
    <w:rsid w:val="0052520A"/>
    <w:pPr>
      <w:widowControl w:val="0"/>
      <w:autoSpaceDE w:val="0"/>
      <w:autoSpaceDN w:val="0"/>
      <w:adjustRightInd w:val="0"/>
      <w:ind w:left="-360"/>
      <w:outlineLvl w:val="1"/>
    </w:pPr>
    <w:rPr>
      <w:rFonts w:ascii="Helvetica" w:cs="Helvetica" w:hAnsi="Helvetica"/>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e6e6e6" w:themeFill="text1" w:themeFillTint="000019" w:val="clear"/>
    </w:tcPr>
    <w:tblStylePr w:type="firstRow">
      <w:rPr>
        <w:b w:val="1"/>
        <w:bCs w:val="1"/>
        <w:color w:val="ffffff" w:themeColor="background1"/>
      </w:rPr>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lastRow">
      <w:rPr>
        <w:b w:val="1"/>
        <w:bCs w:val="1"/>
        <w:color w:val="auto"/>
      </w:rPr>
      <w:tblPr/>
      <w:tcPr>
        <w:shd w:color="auto" w:fill="d9d9d9" w:themeFill="background1" w:themeFillShade="0000D9"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character" w:styleId="Heading1Char" w:customStyle="1">
    <w:name w:val="Heading 1 Char"/>
    <w:basedOn w:val="DefaultParagraphFont"/>
    <w:link w:val="Heading1"/>
    <w:uiPriority w:val="9"/>
    <w:rsid w:val="0052520A"/>
    <w:rPr>
      <w:rFonts w:ascii="Helvetica Neue" w:hAnsi="Helvetica Neue" w:cstheme="majorBidi" w:eastAsiaTheme="majorEastAsia"/>
      <w:b w:val="1"/>
      <w:bCs w:val="1"/>
      <w:sz w:val="22"/>
      <w:szCs w:val="32"/>
    </w:rPr>
  </w:style>
  <w:style w:type="character" w:styleId="Heading2Char" w:customStyle="1">
    <w:name w:val="Heading 2 Char"/>
    <w:aliases w:val="Title 2 Char"/>
    <w:basedOn w:val="DefaultParagraphFont"/>
    <w:link w:val="Heading2"/>
    <w:uiPriority w:val="9"/>
    <w:rsid w:val="0052520A"/>
    <w:rPr>
      <w:rFonts w:ascii="Helvetica" w:cs="Helvetica" w:hAnsi="Helvetica"/>
      <w:b w:val="1"/>
      <w:bCs w:val="1"/>
      <w:sz w:val="28"/>
      <w:szCs w:val="28"/>
    </w:rPr>
  </w:style>
  <w:style w:type="table" w:styleId="TableGrid">
    <w:name w:val="Table Grid"/>
    <w:basedOn w:val="TableNormal"/>
    <w:uiPriority w:val="59"/>
    <w:rsid w:val="0025355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C6E70"/>
    <w:pPr>
      <w:spacing w:after="0"/>
      <w:ind w:left="720"/>
    </w:pPr>
    <w:rPr>
      <w:rFonts w:asciiTheme="minorHAnsi" w:cstheme="minorBidi" w:hAnsiTheme="minorHAnsi"/>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color w:val="000000"/>
    </w:rPr>
    <w:tblPr>
      <w:tblStyleRowBandSize w:val="1"/>
      <w:tblStyleColBandSize w:val="1"/>
      <w:tblCellMar>
        <w:top w:w="0.0" w:type="dxa"/>
        <w:left w:w="115.0" w:type="dxa"/>
        <w:bottom w:w="0.0" w:type="dxa"/>
        <w:right w:w="115.0" w:type="dxa"/>
      </w:tblCellMar>
    </w:tblPr>
    <w:tcPr>
      <w:shd w:fill="e6e6e6"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LibreFranklinMedium-bold.ttf"/><Relationship Id="rId10" Type="http://schemas.openxmlformats.org/officeDocument/2006/relationships/font" Target="fonts/LibreFranklinMedium-regular.ttf"/><Relationship Id="rId13" Type="http://schemas.openxmlformats.org/officeDocument/2006/relationships/font" Target="fonts/LibreFranklinMedium-boldItalic.ttf"/><Relationship Id="rId12" Type="http://schemas.openxmlformats.org/officeDocument/2006/relationships/font" Target="fonts/LibreFranklinMedium-italic.ttf"/><Relationship Id="rId1" Type="http://schemas.openxmlformats.org/officeDocument/2006/relationships/font" Target="fonts/Belleza-regular.ttf"/><Relationship Id="rId2" Type="http://schemas.openxmlformats.org/officeDocument/2006/relationships/font" Target="fonts/LibreFranklin-regular.ttf"/><Relationship Id="rId3" Type="http://schemas.openxmlformats.org/officeDocument/2006/relationships/font" Target="fonts/LibreFranklin-bold.ttf"/><Relationship Id="rId4" Type="http://schemas.openxmlformats.org/officeDocument/2006/relationships/font" Target="fonts/LibreFranklin-italic.ttf"/><Relationship Id="rId9" Type="http://schemas.openxmlformats.org/officeDocument/2006/relationships/font" Target="fonts/BookAntiqua-boldItalic.ttf"/><Relationship Id="rId15" Type="http://schemas.openxmlformats.org/officeDocument/2006/relationships/font" Target="fonts/HelveticaNeue-bold.ttf"/><Relationship Id="rId14" Type="http://schemas.openxmlformats.org/officeDocument/2006/relationships/font" Target="fonts/HelveticaNeue-regular.ttf"/><Relationship Id="rId17" Type="http://schemas.openxmlformats.org/officeDocument/2006/relationships/font" Target="fonts/HelveticaNeue-boldItalic.ttf"/><Relationship Id="rId16" Type="http://schemas.openxmlformats.org/officeDocument/2006/relationships/font" Target="fonts/HelveticaNeue-italic.ttf"/><Relationship Id="rId5" Type="http://schemas.openxmlformats.org/officeDocument/2006/relationships/font" Target="fonts/LibreFranklin-boldItalic.ttf"/><Relationship Id="rId6" Type="http://schemas.openxmlformats.org/officeDocument/2006/relationships/font" Target="fonts/BookAntiqua-regular.ttf"/><Relationship Id="rId7" Type="http://schemas.openxmlformats.org/officeDocument/2006/relationships/font" Target="fonts/BookAntiqua-bold.ttf"/><Relationship Id="rId8" Type="http://schemas.openxmlformats.org/officeDocument/2006/relationships/font" Target="fonts/BookAntiqua-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KoUNsdEGkbwRanghxduu2lw3UQ==">CgMxLjA4AHIhMXVVYmJTTzdMU3J1bXEyZjBTa2xiTmswLXVqTVFVdVNt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2023-10-02T16:28:00Z</dcterms:created>
  <dc:creator>Caroline Pendleton</dc:creator>
</cp:coreProperties>
</file>