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E34B9" w14:textId="77777777" w:rsidR="00671636" w:rsidRPr="00584545" w:rsidRDefault="00671636" w:rsidP="00671636">
      <w:pPr>
        <w:spacing w:before="720" w:after="720" w:line="240" w:lineRule="auto"/>
        <w:rPr>
          <w:rFonts w:ascii="Times New Roman" w:eastAsia="Times New Roman" w:hAnsi="Times New Roman" w:cs="Times New Roman"/>
          <w:sz w:val="24"/>
          <w:szCs w:val="24"/>
        </w:rPr>
      </w:pPr>
      <w:r w:rsidRPr="00C2259A">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CED7AA8" wp14:editId="7D8755B8">
                <wp:simplePos x="0" y="0"/>
                <wp:positionH relativeFrom="margin">
                  <wp:posOffset>651510</wp:posOffset>
                </wp:positionH>
                <wp:positionV relativeFrom="paragraph">
                  <wp:posOffset>342900</wp:posOffset>
                </wp:positionV>
                <wp:extent cx="4810125" cy="1404620"/>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solidFill>
                            <a:schemeClr val="bg1"/>
                          </a:solidFill>
                          <a:miter lim="800000"/>
                          <a:headEnd/>
                          <a:tailEnd/>
                        </a:ln>
                      </wps:spPr>
                      <wps:txbx>
                        <w:txbxContent>
                          <w:p w14:paraId="6038FA26" w14:textId="77777777" w:rsidR="00671636" w:rsidRDefault="00671636" w:rsidP="00671636">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04E15C13" w14:textId="77777777" w:rsidR="00671636" w:rsidRPr="00B02AB8" w:rsidRDefault="00671636" w:rsidP="00671636">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ED7AA8" id="_x0000_t202" coordsize="21600,21600" o:spt="202" path="m,l,21600r21600,l21600,xe">
                <v:stroke joinstyle="miter"/>
                <v:path gradientshapeok="t" o:connecttype="rect"/>
              </v:shapetype>
              <v:shape id="Text Box 2" o:spid="_x0000_s1026" type="#_x0000_t202" style="position:absolute;margin-left:51.3pt;margin-top:27pt;width:378.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" strokecolor="white [3212]">
                <v:textbox style="mso-fit-shape-to-text:t">
                  <w:txbxContent>
                    <w:p w14:paraId="6038FA26" w14:textId="77777777" w:rsidR="00671636" w:rsidRDefault="00671636" w:rsidP="00671636">
                      <w:pPr>
                        <w:rPr>
                          <w:rFonts w:ascii="Algerian" w:hAnsi="Algerian"/>
                          <w:color w:val="156082" w:themeColor="accent1"/>
                          <w:sz w:val="56"/>
                          <w:szCs w:val="56"/>
                        </w:rPr>
                      </w:pPr>
                      <w:r w:rsidRPr="00C91256">
                        <w:rPr>
                          <w:rFonts w:ascii="Algerian" w:hAnsi="Algerian"/>
                          <w:color w:val="156082" w:themeColor="accent1"/>
                          <w:sz w:val="56"/>
                          <w:szCs w:val="56"/>
                        </w:rPr>
                        <w:t>TR Insured</w:t>
                      </w:r>
                    </w:p>
                    <w:p w14:paraId="04E15C13" w14:textId="77777777" w:rsidR="00671636" w:rsidRPr="00B02AB8" w:rsidRDefault="00671636" w:rsidP="00671636">
                      <w:pPr>
                        <w:rPr>
                          <w:rFonts w:ascii="Bahnschrift" w:hAnsi="Bahnschrift"/>
                          <w:i/>
                          <w:iCs/>
                          <w:color w:val="156082" w:themeColor="accent1"/>
                        </w:rPr>
                      </w:pPr>
                      <w:r w:rsidRPr="00B02AB8">
                        <w:rPr>
                          <w:rFonts w:ascii="Bahnschrift" w:hAnsi="Bahnschrift"/>
                          <w:i/>
                          <w:iCs/>
                          <w:color w:val="156082" w:themeColor="accent1"/>
                        </w:rPr>
                        <w:t>A Test P&amp;C INSURANCE Company</w:t>
                      </w:r>
                    </w:p>
                  </w:txbxContent>
                </v:textbox>
                <w10:wrap type="square" anchorx="margin"/>
              </v:shape>
            </w:pict>
          </mc:Fallback>
        </mc:AlternateContent>
      </w:r>
      <w:r w:rsidRPr="00EB3626">
        <w:rPr>
          <w:rFonts w:ascii="Times New Roman" w:eastAsia="Times New Roman" w:hAnsi="Times New Roman" w:cs="Times New Roman"/>
          <w:noProof/>
          <w:sz w:val="24"/>
          <w:szCs w:val="24"/>
        </w:rPr>
        <w:drawing>
          <wp:inline distT="0" distB="0" distL="0" distR="0" wp14:anchorId="4BF07A1D" wp14:editId="6389978E">
            <wp:extent cx="524510" cy="704809"/>
            <wp:effectExtent l="0" t="0" r="8890" b="635"/>
            <wp:docPr id="1694255231" name="Picture 1" descr="A car with an umbrella on the h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55231" name="Picture 1" descr="A car with an umbrella on the hood&#10;&#10;Description automatically generated"/>
                    <pic:cNvPicPr/>
                  </pic:nvPicPr>
                  <pic:blipFill>
                    <a:blip r:embed="rId5"/>
                    <a:stretch>
                      <a:fillRect/>
                    </a:stretch>
                  </pic:blipFill>
                  <pic:spPr>
                    <a:xfrm>
                      <a:off x="0" y="0"/>
                      <a:ext cx="582447" cy="782662"/>
                    </a:xfrm>
                    <a:prstGeom prst="rect">
                      <a:avLst/>
                    </a:prstGeom>
                  </pic:spPr>
                </pic:pic>
              </a:graphicData>
            </a:graphic>
          </wp:inline>
        </w:drawing>
      </w:r>
    </w:p>
    <w:p w14:paraId="25796391" w14:textId="22C97142" w:rsidR="00671636" w:rsidRDefault="00671636" w:rsidP="00671636">
      <w:pPr>
        <w:pStyle w:val="Title"/>
        <w:jc w:val="center"/>
      </w:pPr>
      <w:r>
        <w:t>Annual Financial Report 202</w:t>
      </w:r>
      <w:r>
        <w:t>3</w:t>
      </w:r>
    </w:p>
    <w:p w14:paraId="340728E2" w14:textId="77777777" w:rsidR="00671636" w:rsidRDefault="00671636" w:rsidP="00671636">
      <w:pPr>
        <w:pStyle w:val="Heading1"/>
      </w:pPr>
      <w:r>
        <w:t>Introduction</w:t>
      </w:r>
    </w:p>
    <w:p w14:paraId="4560978C" w14:textId="77777777" w:rsidR="00671636" w:rsidRDefault="00671636" w:rsidP="00671636">
      <w:r w:rsidRPr="00671636">
        <w:t>TR Insurance is a leading P&amp;C insurance company that offers a wide range of products and services to its customers. The company operates in four regions: Asia-Pacific (APAC), Europe, Middle East and Africa (EMEA), North America (NA), and Latin America (LATAM). The company's main lines of business are: Auto, Home, Small Business, Specialty Insurance, Investments, and Life Insurance.</w:t>
      </w:r>
    </w:p>
    <w:p w14:paraId="2FADB8F3" w14:textId="77777777" w:rsidR="00671636" w:rsidRDefault="00671636" w:rsidP="00671636">
      <w:r w:rsidRPr="00671636">
        <w:t>This document presents the projected financial results of TR Insurance for the year 2023, based on the data from the previous year 2022 and some assumptions. The document provides the estimated net written premiums, the net income, and the combined ratio for each line of business and region. The document also includes a table that summarizes the data and a conclusion that outlines the main opportunities and risks for the company.</w:t>
      </w:r>
    </w:p>
    <w:p w14:paraId="00695421" w14:textId="77777777" w:rsidR="00671636" w:rsidRDefault="00671636" w:rsidP="00671636">
      <w:pPr>
        <w:pStyle w:val="Heading1"/>
      </w:pPr>
      <w:r>
        <w:t>Financial Performance</w:t>
      </w:r>
    </w:p>
    <w:p w14:paraId="52F20AE0" w14:textId="77777777" w:rsidR="00671636" w:rsidRDefault="00671636" w:rsidP="00671636">
      <w:r w:rsidRPr="00671636">
        <w:t>The following table shows the projected financial performance of TR Insurance for the year 2023, based on the data from 2022 and some assumptions. The assumptions are:</w:t>
      </w:r>
    </w:p>
    <w:p w14:paraId="5DA00E87" w14:textId="77777777" w:rsidR="00671636" w:rsidRDefault="00671636" w:rsidP="00671636">
      <w:pPr>
        <w:pStyle w:val="ListParagraph"/>
        <w:numPr>
          <w:ilvl w:val="0"/>
          <w:numId w:val="1"/>
        </w:numPr>
      </w:pPr>
      <w:r w:rsidRPr="00671636">
        <w:t>The net written premiums grow by 6% for Auto, 5% for Home, 4% for Small Business, 3% for Specialty Insurance, 7% for Investments, and 2% for Life Insurance.</w:t>
      </w:r>
    </w:p>
    <w:p w14:paraId="374CE457" w14:textId="77777777" w:rsidR="00671636" w:rsidRDefault="00671636" w:rsidP="00671636">
      <w:pPr>
        <w:pStyle w:val="ListParagraph"/>
        <w:numPr>
          <w:ilvl w:val="0"/>
          <w:numId w:val="1"/>
        </w:numPr>
      </w:pPr>
      <w:r w:rsidRPr="00671636">
        <w:t>The net income margin improves by 0.5 percentage points for Auto, Home, and Small Business, remains the same for Specialty Insurance and Investments, and declines by 0.5 percentage points for Life Insurance.</w:t>
      </w:r>
    </w:p>
    <w:p w14:paraId="1B62E29A" w14:textId="77777777" w:rsidR="00671636" w:rsidRDefault="00671636" w:rsidP="00671636">
      <w:pPr>
        <w:pStyle w:val="ListParagraph"/>
        <w:numPr>
          <w:ilvl w:val="0"/>
          <w:numId w:val="1"/>
        </w:numPr>
      </w:pPr>
      <w:r w:rsidRPr="00671636">
        <w:t>The combined ratio improves by 0.5 percentage points for Auto, Home, and Small Business, remains the same for Specialty Insurance, and worsens by 0.5 percentage points for Auto in LATAM.</w:t>
      </w:r>
    </w:p>
    <w:tbl>
      <w:tblPr>
        <w:tblStyle w:val="PlainTable1"/>
        <w:tblW w:w="0" w:type="auto"/>
        <w:tblLook w:val="0420" w:firstRow="1" w:lastRow="0" w:firstColumn="0" w:lastColumn="0" w:noHBand="0" w:noVBand="1"/>
      </w:tblPr>
      <w:tblGrid>
        <w:gridCol w:w="1870"/>
        <w:gridCol w:w="1870"/>
        <w:gridCol w:w="1870"/>
        <w:gridCol w:w="1870"/>
        <w:gridCol w:w="1870"/>
      </w:tblGrid>
      <w:tr w:rsidR="00671636" w:rsidRPr="00671636" w14:paraId="6F1C50BB" w14:textId="77777777" w:rsidTr="00671636">
        <w:trPr>
          <w:cnfStyle w:val="100000000000" w:firstRow="1" w:lastRow="0" w:firstColumn="0" w:lastColumn="0" w:oddVBand="0" w:evenVBand="0" w:oddHBand="0" w:evenHBand="0" w:firstRowFirstColumn="0" w:firstRowLastColumn="0" w:lastRowFirstColumn="0" w:lastRowLastColumn="0"/>
        </w:trPr>
        <w:tc>
          <w:tcPr>
            <w:tcW w:w="1870" w:type="dxa"/>
          </w:tcPr>
          <w:p w14:paraId="529FD507" w14:textId="2C51FD1D" w:rsidR="00671636" w:rsidRPr="00671636" w:rsidRDefault="00671636" w:rsidP="00671636">
            <w:r w:rsidRPr="00671636">
              <w:t>Line of Business</w:t>
            </w:r>
          </w:p>
        </w:tc>
        <w:tc>
          <w:tcPr>
            <w:tcW w:w="1870" w:type="dxa"/>
          </w:tcPr>
          <w:p w14:paraId="58BC43EF" w14:textId="6067F9A8" w:rsidR="00671636" w:rsidRPr="00671636" w:rsidRDefault="00671636" w:rsidP="00671636">
            <w:r w:rsidRPr="00671636">
              <w:t>Region</w:t>
            </w:r>
          </w:p>
        </w:tc>
        <w:tc>
          <w:tcPr>
            <w:tcW w:w="1870" w:type="dxa"/>
          </w:tcPr>
          <w:p w14:paraId="49871239" w14:textId="0FE17DBF" w:rsidR="00671636" w:rsidRPr="00671636" w:rsidRDefault="00671636" w:rsidP="00671636">
            <w:r w:rsidRPr="00671636">
              <w:t>Net Written Premiums</w:t>
            </w:r>
          </w:p>
        </w:tc>
        <w:tc>
          <w:tcPr>
            <w:tcW w:w="1870" w:type="dxa"/>
          </w:tcPr>
          <w:p w14:paraId="5DD2EBD9" w14:textId="58A1C873" w:rsidR="00671636" w:rsidRPr="00671636" w:rsidRDefault="00671636" w:rsidP="00671636">
            <w:r w:rsidRPr="00671636">
              <w:t>Net Income</w:t>
            </w:r>
          </w:p>
        </w:tc>
        <w:tc>
          <w:tcPr>
            <w:tcW w:w="1870" w:type="dxa"/>
          </w:tcPr>
          <w:p w14:paraId="7FAEC72F" w14:textId="5193C93B" w:rsidR="00671636" w:rsidRPr="00671636" w:rsidRDefault="00671636" w:rsidP="00671636">
            <w:r w:rsidRPr="00671636">
              <w:t>Combined Ratio</w:t>
            </w:r>
          </w:p>
        </w:tc>
      </w:tr>
      <w:tr w:rsidR="00671636" w:rsidRPr="00671636" w14:paraId="2F600FD8"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3870FE76" w14:textId="134C8D57" w:rsidR="00671636" w:rsidRPr="00671636" w:rsidRDefault="00671636" w:rsidP="00671636">
            <w:r w:rsidRPr="00671636">
              <w:t>Auto</w:t>
            </w:r>
          </w:p>
        </w:tc>
        <w:tc>
          <w:tcPr>
            <w:tcW w:w="1870" w:type="dxa"/>
          </w:tcPr>
          <w:p w14:paraId="61DEC87C" w14:textId="7AD6FB19" w:rsidR="00671636" w:rsidRPr="00671636" w:rsidRDefault="00671636" w:rsidP="00671636">
            <w:r w:rsidRPr="00671636">
              <w:t>APAC</w:t>
            </w:r>
          </w:p>
        </w:tc>
        <w:tc>
          <w:tcPr>
            <w:tcW w:w="1870" w:type="dxa"/>
          </w:tcPr>
          <w:p w14:paraId="3ABE3229" w14:textId="246BECA3" w:rsidR="00671636" w:rsidRPr="00671636" w:rsidRDefault="00671636" w:rsidP="00671636">
            <w:r w:rsidRPr="00671636">
              <w:t>1,472</w:t>
            </w:r>
          </w:p>
        </w:tc>
        <w:tc>
          <w:tcPr>
            <w:tcW w:w="1870" w:type="dxa"/>
          </w:tcPr>
          <w:p w14:paraId="2D972510" w14:textId="5B61FB1C" w:rsidR="00671636" w:rsidRPr="00671636" w:rsidRDefault="00671636" w:rsidP="00671636">
            <w:r w:rsidRPr="00671636">
              <w:t>279</w:t>
            </w:r>
          </w:p>
        </w:tc>
        <w:tc>
          <w:tcPr>
            <w:tcW w:w="1870" w:type="dxa"/>
          </w:tcPr>
          <w:p w14:paraId="1A75AC4F" w14:textId="58EB4F77" w:rsidR="00671636" w:rsidRPr="00671636" w:rsidRDefault="00671636" w:rsidP="00671636">
            <w:r w:rsidRPr="00671636">
              <w:t>87.0%</w:t>
            </w:r>
          </w:p>
        </w:tc>
      </w:tr>
      <w:tr w:rsidR="00671636" w:rsidRPr="00671636" w14:paraId="000504E1" w14:textId="77777777" w:rsidTr="00671636">
        <w:tc>
          <w:tcPr>
            <w:tcW w:w="1870" w:type="dxa"/>
          </w:tcPr>
          <w:p w14:paraId="3B014F01" w14:textId="5B98D88B" w:rsidR="00671636" w:rsidRPr="00671636" w:rsidRDefault="00671636" w:rsidP="00671636">
            <w:r w:rsidRPr="00671636">
              <w:t>Auto</w:t>
            </w:r>
          </w:p>
        </w:tc>
        <w:tc>
          <w:tcPr>
            <w:tcW w:w="1870" w:type="dxa"/>
          </w:tcPr>
          <w:p w14:paraId="3C4099F4" w14:textId="11B83E2B" w:rsidR="00671636" w:rsidRPr="00671636" w:rsidRDefault="00671636" w:rsidP="00671636">
            <w:r w:rsidRPr="00671636">
              <w:t>EMEA</w:t>
            </w:r>
          </w:p>
        </w:tc>
        <w:tc>
          <w:tcPr>
            <w:tcW w:w="1870" w:type="dxa"/>
          </w:tcPr>
          <w:p w14:paraId="155EEF26" w14:textId="6435A7A6" w:rsidR="00671636" w:rsidRPr="00671636" w:rsidRDefault="00671636" w:rsidP="00671636">
            <w:r w:rsidRPr="00671636">
              <w:t>1,729</w:t>
            </w:r>
          </w:p>
        </w:tc>
        <w:tc>
          <w:tcPr>
            <w:tcW w:w="1870" w:type="dxa"/>
          </w:tcPr>
          <w:p w14:paraId="76093F8C" w14:textId="796D75B3" w:rsidR="00671636" w:rsidRPr="00671636" w:rsidRDefault="00671636" w:rsidP="00671636">
            <w:r w:rsidRPr="00671636">
              <w:t>304</w:t>
            </w:r>
          </w:p>
        </w:tc>
        <w:tc>
          <w:tcPr>
            <w:tcW w:w="1870" w:type="dxa"/>
          </w:tcPr>
          <w:p w14:paraId="5BD7C748" w14:textId="77495187" w:rsidR="00671636" w:rsidRPr="00671636" w:rsidRDefault="00671636" w:rsidP="00671636">
            <w:r w:rsidRPr="00671636">
              <w:t>88.1%</w:t>
            </w:r>
          </w:p>
        </w:tc>
      </w:tr>
      <w:tr w:rsidR="00671636" w:rsidRPr="00671636" w14:paraId="2A48A0CB"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28C6BD00" w14:textId="3F4D43A5" w:rsidR="00671636" w:rsidRPr="00671636" w:rsidRDefault="00671636" w:rsidP="00671636">
            <w:r w:rsidRPr="00671636">
              <w:t>Auto</w:t>
            </w:r>
          </w:p>
        </w:tc>
        <w:tc>
          <w:tcPr>
            <w:tcW w:w="1870" w:type="dxa"/>
          </w:tcPr>
          <w:p w14:paraId="6B4D6E75" w14:textId="1228D7C0" w:rsidR="00671636" w:rsidRPr="00671636" w:rsidRDefault="00671636" w:rsidP="00671636">
            <w:r w:rsidRPr="00671636">
              <w:t>NA</w:t>
            </w:r>
          </w:p>
        </w:tc>
        <w:tc>
          <w:tcPr>
            <w:tcW w:w="1870" w:type="dxa"/>
          </w:tcPr>
          <w:p w14:paraId="149366F5" w14:textId="43E9AD2D" w:rsidR="00671636" w:rsidRPr="00671636" w:rsidRDefault="00671636" w:rsidP="00671636">
            <w:r w:rsidRPr="00671636">
              <w:t>2,791</w:t>
            </w:r>
          </w:p>
        </w:tc>
        <w:tc>
          <w:tcPr>
            <w:tcW w:w="1870" w:type="dxa"/>
          </w:tcPr>
          <w:p w14:paraId="75E18092" w14:textId="76A57BAC" w:rsidR="00671636" w:rsidRPr="00671636" w:rsidRDefault="00671636" w:rsidP="00671636">
            <w:r w:rsidRPr="00671636">
              <w:t>411</w:t>
            </w:r>
          </w:p>
        </w:tc>
        <w:tc>
          <w:tcPr>
            <w:tcW w:w="1870" w:type="dxa"/>
          </w:tcPr>
          <w:p w14:paraId="670E4A63" w14:textId="45867E01" w:rsidR="00671636" w:rsidRPr="00671636" w:rsidRDefault="00671636" w:rsidP="00671636">
            <w:r w:rsidRPr="00671636">
              <w:t>88.7%</w:t>
            </w:r>
          </w:p>
        </w:tc>
      </w:tr>
      <w:tr w:rsidR="00671636" w:rsidRPr="00671636" w14:paraId="2A8BF0F9" w14:textId="77777777" w:rsidTr="00671636">
        <w:tc>
          <w:tcPr>
            <w:tcW w:w="1870" w:type="dxa"/>
          </w:tcPr>
          <w:p w14:paraId="068D3752" w14:textId="55A84936" w:rsidR="00671636" w:rsidRPr="00671636" w:rsidRDefault="00671636" w:rsidP="00671636">
            <w:r w:rsidRPr="00671636">
              <w:t>Auto</w:t>
            </w:r>
          </w:p>
        </w:tc>
        <w:tc>
          <w:tcPr>
            <w:tcW w:w="1870" w:type="dxa"/>
          </w:tcPr>
          <w:p w14:paraId="728FFB7C" w14:textId="340D84C5" w:rsidR="00671636" w:rsidRPr="00671636" w:rsidRDefault="00671636" w:rsidP="00671636">
            <w:r w:rsidRPr="00671636">
              <w:t>LATAM</w:t>
            </w:r>
          </w:p>
        </w:tc>
        <w:tc>
          <w:tcPr>
            <w:tcW w:w="1870" w:type="dxa"/>
          </w:tcPr>
          <w:p w14:paraId="18AFB4D1" w14:textId="05AB3F7A" w:rsidR="00671636" w:rsidRPr="00671636" w:rsidRDefault="00671636" w:rsidP="00671636">
            <w:r w:rsidRPr="00671636">
              <w:t>674</w:t>
            </w:r>
          </w:p>
        </w:tc>
        <w:tc>
          <w:tcPr>
            <w:tcW w:w="1870" w:type="dxa"/>
          </w:tcPr>
          <w:p w14:paraId="27B877A4" w14:textId="15AEF0DB" w:rsidR="00671636" w:rsidRPr="00671636" w:rsidRDefault="00671636" w:rsidP="00671636">
            <w:r w:rsidRPr="00671636">
              <w:t>76</w:t>
            </w:r>
          </w:p>
        </w:tc>
        <w:tc>
          <w:tcPr>
            <w:tcW w:w="1870" w:type="dxa"/>
          </w:tcPr>
          <w:p w14:paraId="6AD28D84" w14:textId="735ACA9C" w:rsidR="00671636" w:rsidRPr="00671636" w:rsidRDefault="00671636" w:rsidP="00671636">
            <w:r w:rsidRPr="00671636">
              <w:t>91.3%</w:t>
            </w:r>
          </w:p>
        </w:tc>
      </w:tr>
      <w:tr w:rsidR="00671636" w:rsidRPr="00671636" w14:paraId="1D085F99"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78CDD3E6" w14:textId="654820E9" w:rsidR="00671636" w:rsidRPr="00671636" w:rsidRDefault="00671636" w:rsidP="00671636">
            <w:r w:rsidRPr="00671636">
              <w:lastRenderedPageBreak/>
              <w:t>Home</w:t>
            </w:r>
          </w:p>
        </w:tc>
        <w:tc>
          <w:tcPr>
            <w:tcW w:w="1870" w:type="dxa"/>
          </w:tcPr>
          <w:p w14:paraId="0B471E03" w14:textId="1B236A8E" w:rsidR="00671636" w:rsidRPr="00671636" w:rsidRDefault="00671636" w:rsidP="00671636">
            <w:r w:rsidRPr="00671636">
              <w:t>APAC</w:t>
            </w:r>
          </w:p>
        </w:tc>
        <w:tc>
          <w:tcPr>
            <w:tcW w:w="1870" w:type="dxa"/>
          </w:tcPr>
          <w:p w14:paraId="42570B84" w14:textId="38BB903E" w:rsidR="00671636" w:rsidRPr="00671636" w:rsidRDefault="00671636" w:rsidP="00671636">
            <w:r w:rsidRPr="00671636">
              <w:t>929</w:t>
            </w:r>
          </w:p>
        </w:tc>
        <w:tc>
          <w:tcPr>
            <w:tcW w:w="1870" w:type="dxa"/>
          </w:tcPr>
          <w:p w14:paraId="2061AA29" w14:textId="0E997F61" w:rsidR="00671636" w:rsidRPr="00671636" w:rsidRDefault="00671636" w:rsidP="00671636">
            <w:r w:rsidRPr="00671636">
              <w:t>106</w:t>
            </w:r>
          </w:p>
        </w:tc>
        <w:tc>
          <w:tcPr>
            <w:tcW w:w="1870" w:type="dxa"/>
          </w:tcPr>
          <w:p w14:paraId="5DC9AD40" w14:textId="31B87273" w:rsidR="00671636" w:rsidRPr="00671636" w:rsidRDefault="00671636" w:rsidP="00671636">
            <w:r w:rsidRPr="00671636">
              <w:t>85.5%</w:t>
            </w:r>
          </w:p>
        </w:tc>
      </w:tr>
      <w:tr w:rsidR="00671636" w:rsidRPr="00671636" w14:paraId="54B5DE96" w14:textId="77777777" w:rsidTr="00671636">
        <w:tc>
          <w:tcPr>
            <w:tcW w:w="1870" w:type="dxa"/>
          </w:tcPr>
          <w:p w14:paraId="00399C4F" w14:textId="602909D7" w:rsidR="00671636" w:rsidRPr="00671636" w:rsidRDefault="00671636" w:rsidP="00671636">
            <w:r w:rsidRPr="00671636">
              <w:t>Home</w:t>
            </w:r>
          </w:p>
        </w:tc>
        <w:tc>
          <w:tcPr>
            <w:tcW w:w="1870" w:type="dxa"/>
          </w:tcPr>
          <w:p w14:paraId="3D2E3461" w14:textId="216B65C8" w:rsidR="00671636" w:rsidRPr="00671636" w:rsidRDefault="00671636" w:rsidP="00671636">
            <w:r w:rsidRPr="00671636">
              <w:t>EMEA</w:t>
            </w:r>
          </w:p>
        </w:tc>
        <w:tc>
          <w:tcPr>
            <w:tcW w:w="1870" w:type="dxa"/>
          </w:tcPr>
          <w:p w14:paraId="309C3120" w14:textId="302C79FB" w:rsidR="00671636" w:rsidRPr="00671636" w:rsidRDefault="00671636" w:rsidP="00671636">
            <w:r w:rsidRPr="00671636">
              <w:t>1,062</w:t>
            </w:r>
          </w:p>
        </w:tc>
        <w:tc>
          <w:tcPr>
            <w:tcW w:w="1870" w:type="dxa"/>
          </w:tcPr>
          <w:p w14:paraId="73157037" w14:textId="3550613C" w:rsidR="00671636" w:rsidRPr="00671636" w:rsidRDefault="00671636" w:rsidP="00671636">
            <w:r w:rsidRPr="00671636">
              <w:t>121</w:t>
            </w:r>
          </w:p>
        </w:tc>
        <w:tc>
          <w:tcPr>
            <w:tcW w:w="1870" w:type="dxa"/>
          </w:tcPr>
          <w:p w14:paraId="187ED4C9" w14:textId="67AF0679" w:rsidR="00671636" w:rsidRPr="00671636" w:rsidRDefault="00671636" w:rsidP="00671636">
            <w:r w:rsidRPr="00671636">
              <w:t>86.6%</w:t>
            </w:r>
          </w:p>
        </w:tc>
      </w:tr>
      <w:tr w:rsidR="00671636" w:rsidRPr="00671636" w14:paraId="1354453D"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2A9F3279" w14:textId="22F0F800" w:rsidR="00671636" w:rsidRPr="00671636" w:rsidRDefault="00671636" w:rsidP="00671636">
            <w:r w:rsidRPr="00671636">
              <w:t>Home</w:t>
            </w:r>
          </w:p>
        </w:tc>
        <w:tc>
          <w:tcPr>
            <w:tcW w:w="1870" w:type="dxa"/>
          </w:tcPr>
          <w:p w14:paraId="38601011" w14:textId="1166CC61" w:rsidR="00671636" w:rsidRPr="00671636" w:rsidRDefault="00671636" w:rsidP="00671636">
            <w:r w:rsidRPr="00671636">
              <w:t>NA</w:t>
            </w:r>
          </w:p>
        </w:tc>
        <w:tc>
          <w:tcPr>
            <w:tcW w:w="1870" w:type="dxa"/>
          </w:tcPr>
          <w:p w14:paraId="58553A49" w14:textId="2FBB5771" w:rsidR="00671636" w:rsidRPr="00671636" w:rsidRDefault="00671636" w:rsidP="00671636">
            <w:r w:rsidRPr="00671636">
              <w:t>1,977</w:t>
            </w:r>
          </w:p>
        </w:tc>
        <w:tc>
          <w:tcPr>
            <w:tcW w:w="1870" w:type="dxa"/>
          </w:tcPr>
          <w:p w14:paraId="58A9E1C1" w14:textId="4116585A" w:rsidR="00671636" w:rsidRPr="00671636" w:rsidRDefault="00671636" w:rsidP="00671636">
            <w:r w:rsidRPr="00671636">
              <w:t>213</w:t>
            </w:r>
          </w:p>
        </w:tc>
        <w:tc>
          <w:tcPr>
            <w:tcW w:w="1870" w:type="dxa"/>
          </w:tcPr>
          <w:p w14:paraId="08467DC9" w14:textId="1148476B" w:rsidR="00671636" w:rsidRPr="00671636" w:rsidRDefault="00671636" w:rsidP="00671636">
            <w:r w:rsidRPr="00671636">
              <w:t>87.3%</w:t>
            </w:r>
          </w:p>
        </w:tc>
      </w:tr>
      <w:tr w:rsidR="00671636" w:rsidRPr="00671636" w14:paraId="6F48A93A" w14:textId="77777777" w:rsidTr="00671636">
        <w:tc>
          <w:tcPr>
            <w:tcW w:w="1870" w:type="dxa"/>
          </w:tcPr>
          <w:p w14:paraId="66A16A4C" w14:textId="519119CB" w:rsidR="00671636" w:rsidRPr="00671636" w:rsidRDefault="00671636" w:rsidP="00671636">
            <w:r w:rsidRPr="00671636">
              <w:t>Home</w:t>
            </w:r>
          </w:p>
        </w:tc>
        <w:tc>
          <w:tcPr>
            <w:tcW w:w="1870" w:type="dxa"/>
          </w:tcPr>
          <w:p w14:paraId="5977DCD2" w14:textId="4697672C" w:rsidR="00671636" w:rsidRPr="00671636" w:rsidRDefault="00671636" w:rsidP="00671636">
            <w:r w:rsidRPr="00671636">
              <w:t>LATAM</w:t>
            </w:r>
          </w:p>
        </w:tc>
        <w:tc>
          <w:tcPr>
            <w:tcW w:w="1870" w:type="dxa"/>
          </w:tcPr>
          <w:p w14:paraId="665F3DC0" w14:textId="395DE870" w:rsidR="00671636" w:rsidRPr="00671636" w:rsidRDefault="00671636" w:rsidP="00671636">
            <w:r w:rsidRPr="00671636">
              <w:t>407</w:t>
            </w:r>
          </w:p>
        </w:tc>
        <w:tc>
          <w:tcPr>
            <w:tcW w:w="1870" w:type="dxa"/>
          </w:tcPr>
          <w:p w14:paraId="6ED0EA4E" w14:textId="62AAE847" w:rsidR="00671636" w:rsidRPr="00671636" w:rsidRDefault="00671636" w:rsidP="00671636">
            <w:r w:rsidRPr="00671636">
              <w:t>54</w:t>
            </w:r>
          </w:p>
        </w:tc>
        <w:tc>
          <w:tcPr>
            <w:tcW w:w="1870" w:type="dxa"/>
          </w:tcPr>
          <w:p w14:paraId="5FB9A054" w14:textId="519DD298" w:rsidR="00671636" w:rsidRPr="00671636" w:rsidRDefault="00671636" w:rsidP="00671636">
            <w:r w:rsidRPr="00671636">
              <w:t>88.6%</w:t>
            </w:r>
          </w:p>
        </w:tc>
      </w:tr>
      <w:tr w:rsidR="00671636" w:rsidRPr="00671636" w14:paraId="62066200"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38C72719" w14:textId="29EA8FF0" w:rsidR="00671636" w:rsidRPr="00671636" w:rsidRDefault="00671636" w:rsidP="00671636">
            <w:r w:rsidRPr="00671636">
              <w:t>Small Business</w:t>
            </w:r>
          </w:p>
        </w:tc>
        <w:tc>
          <w:tcPr>
            <w:tcW w:w="1870" w:type="dxa"/>
          </w:tcPr>
          <w:p w14:paraId="4B33AF8A" w14:textId="26A0C048" w:rsidR="00671636" w:rsidRPr="00671636" w:rsidRDefault="00671636" w:rsidP="00671636">
            <w:r w:rsidRPr="00671636">
              <w:t>APAC</w:t>
            </w:r>
          </w:p>
        </w:tc>
        <w:tc>
          <w:tcPr>
            <w:tcW w:w="1870" w:type="dxa"/>
          </w:tcPr>
          <w:p w14:paraId="18E22996" w14:textId="7FFD58AD" w:rsidR="00671636" w:rsidRPr="00671636" w:rsidRDefault="00671636" w:rsidP="00671636">
            <w:r w:rsidRPr="00671636">
              <w:t>532</w:t>
            </w:r>
          </w:p>
        </w:tc>
        <w:tc>
          <w:tcPr>
            <w:tcW w:w="1870" w:type="dxa"/>
          </w:tcPr>
          <w:p w14:paraId="37621AE9" w14:textId="353FF2D6" w:rsidR="00671636" w:rsidRPr="00671636" w:rsidRDefault="00671636" w:rsidP="00671636">
            <w:r w:rsidRPr="00671636">
              <w:t>66</w:t>
            </w:r>
          </w:p>
        </w:tc>
        <w:tc>
          <w:tcPr>
            <w:tcW w:w="1870" w:type="dxa"/>
          </w:tcPr>
          <w:p w14:paraId="49AF380F" w14:textId="7153DDAC" w:rsidR="00671636" w:rsidRPr="00671636" w:rsidRDefault="00671636" w:rsidP="00671636">
            <w:r w:rsidRPr="00671636">
              <w:t>84.9%</w:t>
            </w:r>
          </w:p>
        </w:tc>
      </w:tr>
      <w:tr w:rsidR="00671636" w:rsidRPr="00671636" w14:paraId="0FB70E6B" w14:textId="77777777" w:rsidTr="00671636">
        <w:tc>
          <w:tcPr>
            <w:tcW w:w="1870" w:type="dxa"/>
          </w:tcPr>
          <w:p w14:paraId="16A68597" w14:textId="7CB0CADA" w:rsidR="00671636" w:rsidRPr="00671636" w:rsidRDefault="00671636" w:rsidP="00671636">
            <w:r w:rsidRPr="00671636">
              <w:t>Small Business</w:t>
            </w:r>
          </w:p>
        </w:tc>
        <w:tc>
          <w:tcPr>
            <w:tcW w:w="1870" w:type="dxa"/>
          </w:tcPr>
          <w:p w14:paraId="0D5FA602" w14:textId="2562FEF0" w:rsidR="00671636" w:rsidRPr="00671636" w:rsidRDefault="00671636" w:rsidP="00671636">
            <w:r w:rsidRPr="00671636">
              <w:t>EMEA</w:t>
            </w:r>
          </w:p>
        </w:tc>
        <w:tc>
          <w:tcPr>
            <w:tcW w:w="1870" w:type="dxa"/>
          </w:tcPr>
          <w:p w14:paraId="29705E63" w14:textId="61DB0CD6" w:rsidR="00671636" w:rsidRPr="00671636" w:rsidRDefault="00671636" w:rsidP="00671636">
            <w:r w:rsidRPr="00671636">
              <w:t>661</w:t>
            </w:r>
          </w:p>
        </w:tc>
        <w:tc>
          <w:tcPr>
            <w:tcW w:w="1870" w:type="dxa"/>
          </w:tcPr>
          <w:p w14:paraId="56E1D6A1" w14:textId="2B884ACE" w:rsidR="00671636" w:rsidRPr="00671636" w:rsidRDefault="00671636" w:rsidP="00671636">
            <w:r w:rsidRPr="00671636">
              <w:t>80</w:t>
            </w:r>
          </w:p>
        </w:tc>
        <w:tc>
          <w:tcPr>
            <w:tcW w:w="1870" w:type="dxa"/>
          </w:tcPr>
          <w:p w14:paraId="30F3B016" w14:textId="26AA8B3E" w:rsidR="00671636" w:rsidRPr="00671636" w:rsidRDefault="00671636" w:rsidP="00671636">
            <w:r w:rsidRPr="00671636">
              <w:t>86.0%</w:t>
            </w:r>
          </w:p>
        </w:tc>
      </w:tr>
      <w:tr w:rsidR="00671636" w:rsidRPr="00671636" w14:paraId="0160586F"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0CEC9B1F" w14:textId="682D5331" w:rsidR="00671636" w:rsidRPr="00671636" w:rsidRDefault="00671636" w:rsidP="00671636">
            <w:r w:rsidRPr="00671636">
              <w:t>Small Business</w:t>
            </w:r>
          </w:p>
        </w:tc>
        <w:tc>
          <w:tcPr>
            <w:tcW w:w="1870" w:type="dxa"/>
          </w:tcPr>
          <w:p w14:paraId="6C07B3A6" w14:textId="2DDD79D6" w:rsidR="00671636" w:rsidRPr="00671636" w:rsidRDefault="00671636" w:rsidP="00671636">
            <w:r w:rsidRPr="00671636">
              <w:t>NA</w:t>
            </w:r>
          </w:p>
        </w:tc>
        <w:tc>
          <w:tcPr>
            <w:tcW w:w="1870" w:type="dxa"/>
          </w:tcPr>
          <w:p w14:paraId="7E83DAC4" w14:textId="2497CF6D" w:rsidR="00671636" w:rsidRPr="00671636" w:rsidRDefault="00671636" w:rsidP="00671636">
            <w:r w:rsidRPr="00671636">
              <w:t>1,440</w:t>
            </w:r>
          </w:p>
        </w:tc>
        <w:tc>
          <w:tcPr>
            <w:tcW w:w="1870" w:type="dxa"/>
          </w:tcPr>
          <w:p w14:paraId="236C8DF6" w14:textId="6EFD436A" w:rsidR="00671636" w:rsidRPr="00671636" w:rsidRDefault="00671636" w:rsidP="00671636">
            <w:r w:rsidRPr="00671636">
              <w:t>159</w:t>
            </w:r>
          </w:p>
        </w:tc>
        <w:tc>
          <w:tcPr>
            <w:tcW w:w="1870" w:type="dxa"/>
          </w:tcPr>
          <w:p w14:paraId="168EDA7B" w14:textId="051029E7" w:rsidR="00671636" w:rsidRPr="00671636" w:rsidRDefault="00671636" w:rsidP="00671636">
            <w:r w:rsidRPr="00671636">
              <w:t>86.5%</w:t>
            </w:r>
          </w:p>
        </w:tc>
      </w:tr>
      <w:tr w:rsidR="00671636" w:rsidRPr="00671636" w14:paraId="16DDFC6A" w14:textId="77777777" w:rsidTr="00671636">
        <w:tc>
          <w:tcPr>
            <w:tcW w:w="1870" w:type="dxa"/>
          </w:tcPr>
          <w:p w14:paraId="120CD863" w14:textId="5D2922CE" w:rsidR="00671636" w:rsidRPr="00671636" w:rsidRDefault="00671636" w:rsidP="00671636">
            <w:r w:rsidRPr="00671636">
              <w:t>Small Business</w:t>
            </w:r>
          </w:p>
        </w:tc>
        <w:tc>
          <w:tcPr>
            <w:tcW w:w="1870" w:type="dxa"/>
          </w:tcPr>
          <w:p w14:paraId="11D61AEB" w14:textId="0E2930CD" w:rsidR="00671636" w:rsidRPr="00671636" w:rsidRDefault="00671636" w:rsidP="00671636">
            <w:r w:rsidRPr="00671636">
              <w:t>LATAM</w:t>
            </w:r>
          </w:p>
        </w:tc>
        <w:tc>
          <w:tcPr>
            <w:tcW w:w="1870" w:type="dxa"/>
          </w:tcPr>
          <w:p w14:paraId="5DD371C0" w14:textId="5D41D487" w:rsidR="00671636" w:rsidRPr="00671636" w:rsidRDefault="00671636" w:rsidP="00671636">
            <w:r w:rsidRPr="00671636">
              <w:t>274</w:t>
            </w:r>
          </w:p>
        </w:tc>
        <w:tc>
          <w:tcPr>
            <w:tcW w:w="1870" w:type="dxa"/>
          </w:tcPr>
          <w:p w14:paraId="13BFBE6D" w14:textId="418337C1" w:rsidR="00671636" w:rsidRPr="00671636" w:rsidRDefault="00671636" w:rsidP="00671636">
            <w:r w:rsidRPr="00671636">
              <w:t>40</w:t>
            </w:r>
          </w:p>
        </w:tc>
        <w:tc>
          <w:tcPr>
            <w:tcW w:w="1870" w:type="dxa"/>
          </w:tcPr>
          <w:p w14:paraId="3DF90FC0" w14:textId="61FEB27D" w:rsidR="00671636" w:rsidRPr="00671636" w:rsidRDefault="00671636" w:rsidP="00671636">
            <w:r w:rsidRPr="00671636">
              <w:t>87.6%</w:t>
            </w:r>
          </w:p>
        </w:tc>
      </w:tr>
      <w:tr w:rsidR="00671636" w:rsidRPr="00671636" w14:paraId="4BD96525"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3724691D" w14:textId="6E0A135B" w:rsidR="00671636" w:rsidRPr="00671636" w:rsidRDefault="00671636" w:rsidP="00671636">
            <w:r w:rsidRPr="00671636">
              <w:t>Specialty Insurance</w:t>
            </w:r>
          </w:p>
        </w:tc>
        <w:tc>
          <w:tcPr>
            <w:tcW w:w="1870" w:type="dxa"/>
          </w:tcPr>
          <w:p w14:paraId="0AE151C3" w14:textId="13957EE0" w:rsidR="00671636" w:rsidRPr="00671636" w:rsidRDefault="00671636" w:rsidP="00671636">
            <w:r w:rsidRPr="00671636">
              <w:t>APAC</w:t>
            </w:r>
          </w:p>
        </w:tc>
        <w:tc>
          <w:tcPr>
            <w:tcW w:w="1870" w:type="dxa"/>
          </w:tcPr>
          <w:p w14:paraId="010A5041" w14:textId="693111BE" w:rsidR="00671636" w:rsidRPr="00671636" w:rsidRDefault="00671636" w:rsidP="00671636">
            <w:r w:rsidRPr="00671636">
              <w:t>399</w:t>
            </w:r>
          </w:p>
        </w:tc>
        <w:tc>
          <w:tcPr>
            <w:tcW w:w="1870" w:type="dxa"/>
          </w:tcPr>
          <w:p w14:paraId="03B579C0" w14:textId="1A8292F9" w:rsidR="00671636" w:rsidRPr="00671636" w:rsidRDefault="00671636" w:rsidP="00671636">
            <w:r w:rsidRPr="00671636">
              <w:t>52</w:t>
            </w:r>
          </w:p>
        </w:tc>
        <w:tc>
          <w:tcPr>
            <w:tcW w:w="1870" w:type="dxa"/>
          </w:tcPr>
          <w:p w14:paraId="640C6DB3" w14:textId="1E4D11FB" w:rsidR="00671636" w:rsidRPr="00671636" w:rsidRDefault="00671636" w:rsidP="00671636">
            <w:r w:rsidRPr="00671636">
              <w:t>84.5%</w:t>
            </w:r>
          </w:p>
        </w:tc>
      </w:tr>
      <w:tr w:rsidR="00671636" w:rsidRPr="00671636" w14:paraId="4C04AC3F" w14:textId="77777777" w:rsidTr="00671636">
        <w:tc>
          <w:tcPr>
            <w:tcW w:w="1870" w:type="dxa"/>
          </w:tcPr>
          <w:p w14:paraId="698E6407" w14:textId="6A50D0B0" w:rsidR="00671636" w:rsidRPr="00671636" w:rsidRDefault="00671636" w:rsidP="00671636">
            <w:r w:rsidRPr="00671636">
              <w:t>Specialty Insurance</w:t>
            </w:r>
          </w:p>
        </w:tc>
        <w:tc>
          <w:tcPr>
            <w:tcW w:w="1870" w:type="dxa"/>
          </w:tcPr>
          <w:p w14:paraId="16A0433A" w14:textId="3962EE0B" w:rsidR="00671636" w:rsidRPr="00671636" w:rsidRDefault="00671636" w:rsidP="00671636">
            <w:r w:rsidRPr="00671636">
              <w:t>EMEA</w:t>
            </w:r>
          </w:p>
        </w:tc>
        <w:tc>
          <w:tcPr>
            <w:tcW w:w="1870" w:type="dxa"/>
          </w:tcPr>
          <w:p w14:paraId="1D3FC404" w14:textId="2352EA60" w:rsidR="00671636" w:rsidRPr="00671636" w:rsidRDefault="00671636" w:rsidP="00671636">
            <w:r w:rsidRPr="00671636">
              <w:t>527</w:t>
            </w:r>
          </w:p>
        </w:tc>
        <w:tc>
          <w:tcPr>
            <w:tcW w:w="1870" w:type="dxa"/>
          </w:tcPr>
          <w:p w14:paraId="324F8CEB" w14:textId="3EF61834" w:rsidR="00671636" w:rsidRPr="00671636" w:rsidRDefault="00671636" w:rsidP="00671636">
            <w:r w:rsidRPr="00671636">
              <w:t>65</w:t>
            </w:r>
          </w:p>
        </w:tc>
        <w:tc>
          <w:tcPr>
            <w:tcW w:w="1870" w:type="dxa"/>
          </w:tcPr>
          <w:p w14:paraId="30DDE771" w14:textId="020B46A1" w:rsidR="00671636" w:rsidRPr="00671636" w:rsidRDefault="00671636" w:rsidP="00671636">
            <w:r w:rsidRPr="00671636">
              <w:t>85.1%</w:t>
            </w:r>
          </w:p>
        </w:tc>
      </w:tr>
      <w:tr w:rsidR="00671636" w:rsidRPr="00671636" w14:paraId="17C60D86"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45557B2B" w14:textId="240197DC" w:rsidR="00671636" w:rsidRPr="00671636" w:rsidRDefault="00671636" w:rsidP="00671636">
            <w:r w:rsidRPr="00671636">
              <w:t>Specialty Insurance</w:t>
            </w:r>
          </w:p>
        </w:tc>
        <w:tc>
          <w:tcPr>
            <w:tcW w:w="1870" w:type="dxa"/>
          </w:tcPr>
          <w:p w14:paraId="7B62FDF1" w14:textId="6C2BA604" w:rsidR="00671636" w:rsidRPr="00671636" w:rsidRDefault="00671636" w:rsidP="00671636">
            <w:r w:rsidRPr="00671636">
              <w:t>NA</w:t>
            </w:r>
          </w:p>
        </w:tc>
        <w:tc>
          <w:tcPr>
            <w:tcW w:w="1870" w:type="dxa"/>
          </w:tcPr>
          <w:p w14:paraId="1FB4FC7D" w14:textId="618CD226" w:rsidR="00671636" w:rsidRPr="00671636" w:rsidRDefault="00671636" w:rsidP="00671636">
            <w:r w:rsidRPr="00671636">
              <w:t>912</w:t>
            </w:r>
          </w:p>
        </w:tc>
        <w:tc>
          <w:tcPr>
            <w:tcW w:w="1870" w:type="dxa"/>
          </w:tcPr>
          <w:p w14:paraId="7D471DA6" w14:textId="7266EED1" w:rsidR="00671636" w:rsidRPr="00671636" w:rsidRDefault="00671636" w:rsidP="00671636">
            <w:r w:rsidRPr="00671636">
              <w:t>103</w:t>
            </w:r>
          </w:p>
        </w:tc>
        <w:tc>
          <w:tcPr>
            <w:tcW w:w="1870" w:type="dxa"/>
          </w:tcPr>
          <w:p w14:paraId="2C496C22" w14:textId="71E4C128" w:rsidR="00671636" w:rsidRPr="00671636" w:rsidRDefault="00671636" w:rsidP="00671636">
            <w:r w:rsidRPr="00671636">
              <w:t>85.9%</w:t>
            </w:r>
          </w:p>
        </w:tc>
      </w:tr>
      <w:tr w:rsidR="00671636" w:rsidRPr="00671636" w14:paraId="5C542457" w14:textId="77777777" w:rsidTr="00671636">
        <w:tc>
          <w:tcPr>
            <w:tcW w:w="1870" w:type="dxa"/>
          </w:tcPr>
          <w:p w14:paraId="07D3CB84" w14:textId="23031784" w:rsidR="00671636" w:rsidRPr="00671636" w:rsidRDefault="00671636" w:rsidP="00671636">
            <w:r w:rsidRPr="00671636">
              <w:t>Specialty Insurance</w:t>
            </w:r>
          </w:p>
        </w:tc>
        <w:tc>
          <w:tcPr>
            <w:tcW w:w="1870" w:type="dxa"/>
          </w:tcPr>
          <w:p w14:paraId="63334118" w14:textId="48A9EABC" w:rsidR="00671636" w:rsidRPr="00671636" w:rsidRDefault="00671636" w:rsidP="00671636">
            <w:r w:rsidRPr="00671636">
              <w:t>LATAM</w:t>
            </w:r>
          </w:p>
        </w:tc>
        <w:tc>
          <w:tcPr>
            <w:tcW w:w="1870" w:type="dxa"/>
          </w:tcPr>
          <w:p w14:paraId="40553420" w14:textId="399F0896" w:rsidR="00671636" w:rsidRPr="00671636" w:rsidRDefault="00671636" w:rsidP="00671636">
            <w:r w:rsidRPr="00671636">
              <w:t>142</w:t>
            </w:r>
          </w:p>
        </w:tc>
        <w:tc>
          <w:tcPr>
            <w:tcW w:w="1870" w:type="dxa"/>
          </w:tcPr>
          <w:p w14:paraId="1FBD7383" w14:textId="2519379D" w:rsidR="00671636" w:rsidRPr="00671636" w:rsidRDefault="00671636" w:rsidP="00671636">
            <w:r w:rsidRPr="00671636">
              <w:t>25</w:t>
            </w:r>
          </w:p>
        </w:tc>
        <w:tc>
          <w:tcPr>
            <w:tcW w:w="1870" w:type="dxa"/>
          </w:tcPr>
          <w:p w14:paraId="420531CC" w14:textId="537742B3" w:rsidR="00671636" w:rsidRPr="00671636" w:rsidRDefault="00671636" w:rsidP="00671636">
            <w:r w:rsidRPr="00671636">
              <w:t>87.5%</w:t>
            </w:r>
          </w:p>
        </w:tc>
      </w:tr>
      <w:tr w:rsidR="00671636" w:rsidRPr="00671636" w14:paraId="3749C95F"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0DC6C4BB" w14:textId="24BF12F6" w:rsidR="00671636" w:rsidRPr="00671636" w:rsidRDefault="00671636" w:rsidP="00671636">
            <w:r w:rsidRPr="00671636">
              <w:t>Investments</w:t>
            </w:r>
          </w:p>
        </w:tc>
        <w:tc>
          <w:tcPr>
            <w:tcW w:w="1870" w:type="dxa"/>
          </w:tcPr>
          <w:p w14:paraId="1D75E000" w14:textId="51472BDA" w:rsidR="00671636" w:rsidRPr="00671636" w:rsidRDefault="00671636" w:rsidP="00671636">
            <w:r w:rsidRPr="00671636">
              <w:t>APAC</w:t>
            </w:r>
          </w:p>
        </w:tc>
        <w:tc>
          <w:tcPr>
            <w:tcW w:w="1870" w:type="dxa"/>
          </w:tcPr>
          <w:p w14:paraId="4E1F1DF7" w14:textId="326A24C9" w:rsidR="00671636" w:rsidRPr="00671636" w:rsidRDefault="00671636" w:rsidP="00671636">
            <w:r w:rsidRPr="00671636">
              <w:t>680</w:t>
            </w:r>
          </w:p>
        </w:tc>
        <w:tc>
          <w:tcPr>
            <w:tcW w:w="1870" w:type="dxa"/>
          </w:tcPr>
          <w:p w14:paraId="1ACD6EE4" w14:textId="2D11FDA6" w:rsidR="00671636" w:rsidRPr="00671636" w:rsidRDefault="00671636" w:rsidP="00671636">
            <w:r w:rsidRPr="00671636">
              <w:t>81</w:t>
            </w:r>
          </w:p>
        </w:tc>
        <w:tc>
          <w:tcPr>
            <w:tcW w:w="1870" w:type="dxa"/>
          </w:tcPr>
          <w:p w14:paraId="5623D25B" w14:textId="263C9FD9" w:rsidR="00671636" w:rsidRPr="00671636" w:rsidRDefault="00671636" w:rsidP="00671636">
            <w:r w:rsidRPr="00671636">
              <w:t>N/A</w:t>
            </w:r>
          </w:p>
        </w:tc>
      </w:tr>
      <w:tr w:rsidR="00671636" w:rsidRPr="00671636" w14:paraId="3D72E6F8" w14:textId="77777777" w:rsidTr="00671636">
        <w:tc>
          <w:tcPr>
            <w:tcW w:w="1870" w:type="dxa"/>
          </w:tcPr>
          <w:p w14:paraId="280AD5CC" w14:textId="7C139261" w:rsidR="00671636" w:rsidRPr="00671636" w:rsidRDefault="00671636" w:rsidP="00671636">
            <w:r w:rsidRPr="00671636">
              <w:t>Investments</w:t>
            </w:r>
          </w:p>
        </w:tc>
        <w:tc>
          <w:tcPr>
            <w:tcW w:w="1870" w:type="dxa"/>
          </w:tcPr>
          <w:p w14:paraId="42B8B6FF" w14:textId="15E38EB9" w:rsidR="00671636" w:rsidRPr="00671636" w:rsidRDefault="00671636" w:rsidP="00671636">
            <w:r w:rsidRPr="00671636">
              <w:t>EMEA</w:t>
            </w:r>
          </w:p>
        </w:tc>
        <w:tc>
          <w:tcPr>
            <w:tcW w:w="1870" w:type="dxa"/>
          </w:tcPr>
          <w:p w14:paraId="43511DD7" w14:textId="55E70FDE" w:rsidR="00671636" w:rsidRPr="00671636" w:rsidRDefault="00671636" w:rsidP="00671636">
            <w:r w:rsidRPr="00671636">
              <w:t>814</w:t>
            </w:r>
          </w:p>
        </w:tc>
        <w:tc>
          <w:tcPr>
            <w:tcW w:w="1870" w:type="dxa"/>
          </w:tcPr>
          <w:p w14:paraId="19F2ACB5" w14:textId="1C58AE7D" w:rsidR="00671636" w:rsidRPr="00671636" w:rsidRDefault="00671636" w:rsidP="00671636">
            <w:r w:rsidRPr="00671636">
              <w:t>94</w:t>
            </w:r>
          </w:p>
        </w:tc>
        <w:tc>
          <w:tcPr>
            <w:tcW w:w="1870" w:type="dxa"/>
          </w:tcPr>
          <w:p w14:paraId="0DD848F0" w14:textId="112AA809" w:rsidR="00671636" w:rsidRPr="00671636" w:rsidRDefault="00671636" w:rsidP="00671636">
            <w:r w:rsidRPr="00671636">
              <w:t>N/A</w:t>
            </w:r>
          </w:p>
        </w:tc>
      </w:tr>
      <w:tr w:rsidR="00671636" w:rsidRPr="00671636" w14:paraId="49E0603E"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31ECD8D6" w14:textId="3FD90171" w:rsidR="00671636" w:rsidRPr="00671636" w:rsidRDefault="00671636" w:rsidP="00671636">
            <w:r w:rsidRPr="00671636">
              <w:t>Investments</w:t>
            </w:r>
          </w:p>
        </w:tc>
        <w:tc>
          <w:tcPr>
            <w:tcW w:w="1870" w:type="dxa"/>
          </w:tcPr>
          <w:p w14:paraId="664748C1" w14:textId="03191A81" w:rsidR="00671636" w:rsidRPr="00671636" w:rsidRDefault="00671636" w:rsidP="00671636">
            <w:r w:rsidRPr="00671636">
              <w:t>NA</w:t>
            </w:r>
          </w:p>
        </w:tc>
        <w:tc>
          <w:tcPr>
            <w:tcW w:w="1870" w:type="dxa"/>
          </w:tcPr>
          <w:p w14:paraId="57BF0B19" w14:textId="751A8128" w:rsidR="00671636" w:rsidRPr="00671636" w:rsidRDefault="00671636" w:rsidP="00671636">
            <w:r w:rsidRPr="00671636">
              <w:t>1,482</w:t>
            </w:r>
          </w:p>
        </w:tc>
        <w:tc>
          <w:tcPr>
            <w:tcW w:w="1870" w:type="dxa"/>
          </w:tcPr>
          <w:p w14:paraId="5719A901" w14:textId="14D9C184" w:rsidR="00671636" w:rsidRPr="00671636" w:rsidRDefault="00671636" w:rsidP="00671636">
            <w:r w:rsidRPr="00671636">
              <w:t>162</w:t>
            </w:r>
          </w:p>
        </w:tc>
        <w:tc>
          <w:tcPr>
            <w:tcW w:w="1870" w:type="dxa"/>
          </w:tcPr>
          <w:p w14:paraId="0E756CEC" w14:textId="00E1913D" w:rsidR="00671636" w:rsidRPr="00671636" w:rsidRDefault="00671636" w:rsidP="00671636">
            <w:r w:rsidRPr="00671636">
              <w:t>N/A</w:t>
            </w:r>
          </w:p>
        </w:tc>
      </w:tr>
      <w:tr w:rsidR="00671636" w:rsidRPr="00671636" w14:paraId="636DBE25" w14:textId="77777777" w:rsidTr="00671636">
        <w:tc>
          <w:tcPr>
            <w:tcW w:w="1870" w:type="dxa"/>
          </w:tcPr>
          <w:p w14:paraId="0D7F79FC" w14:textId="04248B81" w:rsidR="00671636" w:rsidRPr="00671636" w:rsidRDefault="00671636" w:rsidP="00671636">
            <w:r w:rsidRPr="00671636">
              <w:t>Investments</w:t>
            </w:r>
          </w:p>
        </w:tc>
        <w:tc>
          <w:tcPr>
            <w:tcW w:w="1870" w:type="dxa"/>
          </w:tcPr>
          <w:p w14:paraId="6E777383" w14:textId="09088339" w:rsidR="00671636" w:rsidRPr="00671636" w:rsidRDefault="00671636" w:rsidP="00671636">
            <w:r w:rsidRPr="00671636">
              <w:t>LATAM</w:t>
            </w:r>
          </w:p>
        </w:tc>
        <w:tc>
          <w:tcPr>
            <w:tcW w:w="1870" w:type="dxa"/>
          </w:tcPr>
          <w:p w14:paraId="779766EA" w14:textId="269ECD64" w:rsidR="00671636" w:rsidRPr="00671636" w:rsidRDefault="00671636" w:rsidP="00671636">
            <w:r w:rsidRPr="00671636">
              <w:t>281</w:t>
            </w:r>
          </w:p>
        </w:tc>
        <w:tc>
          <w:tcPr>
            <w:tcW w:w="1870" w:type="dxa"/>
          </w:tcPr>
          <w:p w14:paraId="065428CE" w14:textId="353A4B32" w:rsidR="00671636" w:rsidRPr="00671636" w:rsidRDefault="00671636" w:rsidP="00671636">
            <w:r w:rsidRPr="00671636">
              <w:t>41</w:t>
            </w:r>
          </w:p>
        </w:tc>
        <w:tc>
          <w:tcPr>
            <w:tcW w:w="1870" w:type="dxa"/>
          </w:tcPr>
          <w:p w14:paraId="65AE1BCF" w14:textId="18639D26" w:rsidR="00671636" w:rsidRPr="00671636" w:rsidRDefault="00671636" w:rsidP="00671636">
            <w:r w:rsidRPr="00671636">
              <w:t>N/A</w:t>
            </w:r>
          </w:p>
        </w:tc>
      </w:tr>
      <w:tr w:rsidR="00671636" w:rsidRPr="00671636" w14:paraId="3093CE6D"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7ABD952E" w14:textId="31630104" w:rsidR="00671636" w:rsidRPr="00671636" w:rsidRDefault="00671636" w:rsidP="00671636">
            <w:r w:rsidRPr="00671636">
              <w:t>Life Insurance</w:t>
            </w:r>
          </w:p>
        </w:tc>
        <w:tc>
          <w:tcPr>
            <w:tcW w:w="1870" w:type="dxa"/>
          </w:tcPr>
          <w:p w14:paraId="5610FCB2" w14:textId="3E2AD2FD" w:rsidR="00671636" w:rsidRPr="00671636" w:rsidRDefault="00671636" w:rsidP="00671636">
            <w:r w:rsidRPr="00671636">
              <w:t>APAC</w:t>
            </w:r>
          </w:p>
        </w:tc>
        <w:tc>
          <w:tcPr>
            <w:tcW w:w="1870" w:type="dxa"/>
          </w:tcPr>
          <w:p w14:paraId="64BB2396" w14:textId="0BED1A44" w:rsidR="00671636" w:rsidRPr="00671636" w:rsidRDefault="00671636" w:rsidP="00671636">
            <w:r w:rsidRPr="00671636">
              <w:t>522</w:t>
            </w:r>
          </w:p>
        </w:tc>
        <w:tc>
          <w:tcPr>
            <w:tcW w:w="1870" w:type="dxa"/>
          </w:tcPr>
          <w:p w14:paraId="7A51130C" w14:textId="22155AD4" w:rsidR="00671636" w:rsidRPr="00671636" w:rsidRDefault="00671636" w:rsidP="00671636">
            <w:r w:rsidRPr="00671636">
              <w:t>60</w:t>
            </w:r>
          </w:p>
        </w:tc>
        <w:tc>
          <w:tcPr>
            <w:tcW w:w="1870" w:type="dxa"/>
          </w:tcPr>
          <w:p w14:paraId="1354A03C" w14:textId="284A2C5E" w:rsidR="00671636" w:rsidRPr="00671636" w:rsidRDefault="00671636" w:rsidP="00671636">
            <w:r w:rsidRPr="00671636">
              <w:t>N/A</w:t>
            </w:r>
          </w:p>
        </w:tc>
      </w:tr>
      <w:tr w:rsidR="00671636" w:rsidRPr="00671636" w14:paraId="5EE12052" w14:textId="77777777" w:rsidTr="00671636">
        <w:tc>
          <w:tcPr>
            <w:tcW w:w="1870" w:type="dxa"/>
          </w:tcPr>
          <w:p w14:paraId="198DD4E7" w14:textId="7DA1D8C1" w:rsidR="00671636" w:rsidRPr="00671636" w:rsidRDefault="00671636" w:rsidP="00671636">
            <w:r w:rsidRPr="00671636">
              <w:t>Life Insurance</w:t>
            </w:r>
          </w:p>
        </w:tc>
        <w:tc>
          <w:tcPr>
            <w:tcW w:w="1870" w:type="dxa"/>
          </w:tcPr>
          <w:p w14:paraId="712D6786" w14:textId="450564B1" w:rsidR="00671636" w:rsidRPr="00671636" w:rsidRDefault="00671636" w:rsidP="00671636">
            <w:r w:rsidRPr="00671636">
              <w:t>EMEA</w:t>
            </w:r>
          </w:p>
        </w:tc>
        <w:tc>
          <w:tcPr>
            <w:tcW w:w="1870" w:type="dxa"/>
          </w:tcPr>
          <w:p w14:paraId="75E97610" w14:textId="7AF4A873" w:rsidR="00671636" w:rsidRPr="00671636" w:rsidRDefault="00671636" w:rsidP="00671636">
            <w:r w:rsidRPr="00671636">
              <w:t>649</w:t>
            </w:r>
          </w:p>
        </w:tc>
        <w:tc>
          <w:tcPr>
            <w:tcW w:w="1870" w:type="dxa"/>
          </w:tcPr>
          <w:p w14:paraId="186343B8" w14:textId="16EF2EED" w:rsidR="00671636" w:rsidRPr="00671636" w:rsidRDefault="00671636" w:rsidP="00671636">
            <w:r w:rsidRPr="00671636">
              <w:t>73</w:t>
            </w:r>
          </w:p>
        </w:tc>
        <w:tc>
          <w:tcPr>
            <w:tcW w:w="1870" w:type="dxa"/>
          </w:tcPr>
          <w:p w14:paraId="33299FB8" w14:textId="70E80A58" w:rsidR="00671636" w:rsidRPr="00671636" w:rsidRDefault="00671636" w:rsidP="00671636">
            <w:r w:rsidRPr="00671636">
              <w:t>N/A</w:t>
            </w:r>
          </w:p>
        </w:tc>
      </w:tr>
      <w:tr w:rsidR="00671636" w:rsidRPr="00671636" w14:paraId="0A7A54BA" w14:textId="77777777" w:rsidTr="00671636">
        <w:trPr>
          <w:cnfStyle w:val="000000100000" w:firstRow="0" w:lastRow="0" w:firstColumn="0" w:lastColumn="0" w:oddVBand="0" w:evenVBand="0" w:oddHBand="1" w:evenHBand="0" w:firstRowFirstColumn="0" w:firstRowLastColumn="0" w:lastRowFirstColumn="0" w:lastRowLastColumn="0"/>
        </w:trPr>
        <w:tc>
          <w:tcPr>
            <w:tcW w:w="1870" w:type="dxa"/>
          </w:tcPr>
          <w:p w14:paraId="7DC227F1" w14:textId="12111D7E" w:rsidR="00671636" w:rsidRPr="00671636" w:rsidRDefault="00671636" w:rsidP="00671636">
            <w:r w:rsidRPr="00671636">
              <w:t>Life Insurance</w:t>
            </w:r>
          </w:p>
        </w:tc>
        <w:tc>
          <w:tcPr>
            <w:tcW w:w="1870" w:type="dxa"/>
          </w:tcPr>
          <w:p w14:paraId="1C8333B3" w14:textId="35A52DE9" w:rsidR="00671636" w:rsidRPr="00671636" w:rsidRDefault="00671636" w:rsidP="00671636">
            <w:r w:rsidRPr="00671636">
              <w:t>NA</w:t>
            </w:r>
          </w:p>
        </w:tc>
        <w:tc>
          <w:tcPr>
            <w:tcW w:w="1870" w:type="dxa"/>
          </w:tcPr>
          <w:p w14:paraId="70632A46" w14:textId="1CDF13E5" w:rsidR="00671636" w:rsidRPr="00671636" w:rsidRDefault="00671636" w:rsidP="00671636">
            <w:r w:rsidRPr="00671636">
              <w:t>903</w:t>
            </w:r>
          </w:p>
        </w:tc>
        <w:tc>
          <w:tcPr>
            <w:tcW w:w="1870" w:type="dxa"/>
          </w:tcPr>
          <w:p w14:paraId="2759ADE0" w14:textId="350B0046" w:rsidR="00671636" w:rsidRPr="00671636" w:rsidRDefault="00671636" w:rsidP="00671636">
            <w:r w:rsidRPr="00671636">
              <w:t>96</w:t>
            </w:r>
          </w:p>
        </w:tc>
        <w:tc>
          <w:tcPr>
            <w:tcW w:w="1870" w:type="dxa"/>
          </w:tcPr>
          <w:p w14:paraId="36703A53" w14:textId="02164D3C" w:rsidR="00671636" w:rsidRPr="00671636" w:rsidRDefault="00671636" w:rsidP="00671636">
            <w:r w:rsidRPr="00671636">
              <w:t>N/A</w:t>
            </w:r>
          </w:p>
        </w:tc>
      </w:tr>
      <w:tr w:rsidR="00671636" w:rsidRPr="00671636" w14:paraId="7701514F" w14:textId="77777777" w:rsidTr="00671636">
        <w:tc>
          <w:tcPr>
            <w:tcW w:w="1870" w:type="dxa"/>
          </w:tcPr>
          <w:p w14:paraId="29148FBF" w14:textId="089938E4" w:rsidR="00671636" w:rsidRPr="00671636" w:rsidRDefault="00671636" w:rsidP="00671636">
            <w:r w:rsidRPr="00671636">
              <w:t>Life Insurance</w:t>
            </w:r>
          </w:p>
        </w:tc>
        <w:tc>
          <w:tcPr>
            <w:tcW w:w="1870" w:type="dxa"/>
          </w:tcPr>
          <w:p w14:paraId="14DB6C14" w14:textId="79283999" w:rsidR="00671636" w:rsidRPr="00671636" w:rsidRDefault="00671636" w:rsidP="00671636">
            <w:r w:rsidRPr="00671636">
              <w:t>LATAM</w:t>
            </w:r>
          </w:p>
        </w:tc>
        <w:tc>
          <w:tcPr>
            <w:tcW w:w="1870" w:type="dxa"/>
          </w:tcPr>
          <w:p w14:paraId="40CDFF00" w14:textId="17369A52" w:rsidR="00671636" w:rsidRPr="00671636" w:rsidRDefault="00671636" w:rsidP="00671636">
            <w:r w:rsidRPr="00671636">
              <w:t>141</w:t>
            </w:r>
          </w:p>
        </w:tc>
        <w:tc>
          <w:tcPr>
            <w:tcW w:w="1870" w:type="dxa"/>
          </w:tcPr>
          <w:p w14:paraId="39BC84A2" w14:textId="24CAF975" w:rsidR="00671636" w:rsidRPr="00671636" w:rsidRDefault="00671636" w:rsidP="00671636">
            <w:r w:rsidRPr="00671636">
              <w:t>25</w:t>
            </w:r>
          </w:p>
        </w:tc>
        <w:tc>
          <w:tcPr>
            <w:tcW w:w="1870" w:type="dxa"/>
          </w:tcPr>
          <w:p w14:paraId="10390855" w14:textId="19D0C3CA" w:rsidR="00671636" w:rsidRPr="00671636" w:rsidRDefault="00671636" w:rsidP="00671636">
            <w:r w:rsidRPr="00671636">
              <w:t>N/A</w:t>
            </w:r>
          </w:p>
        </w:tc>
      </w:tr>
    </w:tbl>
    <w:p w14:paraId="7E8B381B" w14:textId="0C4FD052" w:rsidR="00A8205B" w:rsidRDefault="00A8205B" w:rsidP="00671636">
      <w:pPr>
        <w:pStyle w:val="Heading1"/>
      </w:pPr>
      <w:r>
        <w:rPr>
          <w:noProof/>
        </w:rPr>
        <w:drawing>
          <wp:inline distT="0" distB="0" distL="0" distR="0" wp14:anchorId="6CF77E94" wp14:editId="6DBFD4B8">
            <wp:extent cx="4572000" cy="2743200"/>
            <wp:effectExtent l="0" t="0" r="0" b="0"/>
            <wp:docPr id="1982390023" name="Chart 1">
              <a:extLst xmlns:a="http://schemas.openxmlformats.org/drawingml/2006/main">
                <a:ext uri="{FF2B5EF4-FFF2-40B4-BE49-F238E27FC236}">
                  <a16:creationId xmlns:a16="http://schemas.microsoft.com/office/drawing/2014/main" id="{176089DA-F7A3-1417-175A-F8640721F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D09639A" w14:textId="20D3F5D9" w:rsidR="00671636" w:rsidRDefault="00671636" w:rsidP="00671636">
      <w:pPr>
        <w:pStyle w:val="Heading1"/>
      </w:pPr>
      <w:r>
        <w:t>Summary</w:t>
      </w:r>
    </w:p>
    <w:p w14:paraId="428E3851" w14:textId="77777777" w:rsidR="00671636" w:rsidRDefault="00671636" w:rsidP="00671636">
      <w:r w:rsidRPr="00671636">
        <w:t xml:space="preserve">The table shows that TR Insurance is expected to achieve a positive net income across all lines of business and regions, with a total net income of 2,311 million, an increase of 9.2% compared to </w:t>
      </w:r>
      <w:r w:rsidRPr="00671636">
        <w:lastRenderedPageBreak/>
        <w:t>2022. The company is also expected to maintain a favorable combined ratio for all lines of business, except for Auto in LATAM, which is projected to have a slightly higher ratio than the industry average of 91%. The company's net written premiums are projected to increase by 6.1% compared to 2022, driven by the growth in Auto, Home, Investments, and Life Insurance.</w:t>
      </w:r>
    </w:p>
    <w:p w14:paraId="4E21480E" w14:textId="77777777" w:rsidR="00671636" w:rsidRDefault="00671636" w:rsidP="00671636">
      <w:pPr>
        <w:pStyle w:val="Heading1"/>
      </w:pPr>
      <w:r>
        <w:t>Conclusion</w:t>
      </w:r>
    </w:p>
    <w:p w14:paraId="71AE90C1" w14:textId="14564EFF" w:rsidR="00671636" w:rsidRPr="00671636" w:rsidRDefault="00671636" w:rsidP="00671636">
      <w:r w:rsidRPr="00671636">
        <w:t>TR Insurance is projected to have a successful year in 2023, building on its strong performance in 2022. The company is expected to deliver strong financial results and provide excellent customer service. The company is also expected to invest in innovation and digital transformation to enhance its operational efficiency and customer experience. The company is well-positioned to take advantage of the opportunities and mitigate the risks in the P&amp;C insurance market.</w:t>
      </w:r>
    </w:p>
    <w:p w14:paraId="4B936DCF" w14:textId="183984F6" w:rsidR="009F47E2" w:rsidRPr="00671636" w:rsidRDefault="009F47E2" w:rsidP="00671636"/>
    <w:sectPr w:rsidR="009F47E2" w:rsidRPr="00671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D0E9D"/>
    <w:multiLevelType w:val="hybridMultilevel"/>
    <w:tmpl w:val="8CA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54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36"/>
    <w:rsid w:val="00015DB4"/>
    <w:rsid w:val="00671636"/>
    <w:rsid w:val="009F47E2"/>
    <w:rsid w:val="00A8205B"/>
    <w:rsid w:val="00E13178"/>
    <w:rsid w:val="00F220E7"/>
    <w:rsid w:val="00F90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4991"/>
  <w15:chartTrackingRefBased/>
  <w15:docId w15:val="{C2E580EA-01AD-4364-8D1A-518DB6F4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636"/>
    <w:rPr>
      <w:rFonts w:eastAsiaTheme="majorEastAsia" w:cstheme="majorBidi"/>
      <w:color w:val="272727" w:themeColor="text1" w:themeTint="D8"/>
    </w:rPr>
  </w:style>
  <w:style w:type="paragraph" w:styleId="Title">
    <w:name w:val="Title"/>
    <w:basedOn w:val="Normal"/>
    <w:next w:val="Normal"/>
    <w:link w:val="TitleChar"/>
    <w:uiPriority w:val="10"/>
    <w:qFormat/>
    <w:rsid w:val="00671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636"/>
    <w:pPr>
      <w:spacing w:before="160"/>
      <w:jc w:val="center"/>
    </w:pPr>
    <w:rPr>
      <w:i/>
      <w:iCs/>
      <w:color w:val="404040" w:themeColor="text1" w:themeTint="BF"/>
    </w:rPr>
  </w:style>
  <w:style w:type="character" w:customStyle="1" w:styleId="QuoteChar">
    <w:name w:val="Quote Char"/>
    <w:basedOn w:val="DefaultParagraphFont"/>
    <w:link w:val="Quote"/>
    <w:uiPriority w:val="29"/>
    <w:rsid w:val="00671636"/>
    <w:rPr>
      <w:i/>
      <w:iCs/>
      <w:color w:val="404040" w:themeColor="text1" w:themeTint="BF"/>
    </w:rPr>
  </w:style>
  <w:style w:type="paragraph" w:styleId="ListParagraph">
    <w:name w:val="List Paragraph"/>
    <w:basedOn w:val="Normal"/>
    <w:uiPriority w:val="34"/>
    <w:qFormat/>
    <w:rsid w:val="00671636"/>
    <w:pPr>
      <w:ind w:left="720"/>
      <w:contextualSpacing/>
    </w:pPr>
  </w:style>
  <w:style w:type="character" w:styleId="IntenseEmphasis">
    <w:name w:val="Intense Emphasis"/>
    <w:basedOn w:val="DefaultParagraphFont"/>
    <w:uiPriority w:val="21"/>
    <w:qFormat/>
    <w:rsid w:val="00671636"/>
    <w:rPr>
      <w:i/>
      <w:iCs/>
      <w:color w:val="0F4761" w:themeColor="accent1" w:themeShade="BF"/>
    </w:rPr>
  </w:style>
  <w:style w:type="paragraph" w:styleId="IntenseQuote">
    <w:name w:val="Intense Quote"/>
    <w:basedOn w:val="Normal"/>
    <w:next w:val="Normal"/>
    <w:link w:val="IntenseQuoteChar"/>
    <w:uiPriority w:val="30"/>
    <w:qFormat/>
    <w:rsid w:val="00671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636"/>
    <w:rPr>
      <w:i/>
      <w:iCs/>
      <w:color w:val="0F4761" w:themeColor="accent1" w:themeShade="BF"/>
    </w:rPr>
  </w:style>
  <w:style w:type="character" w:styleId="IntenseReference">
    <w:name w:val="Intense Reference"/>
    <w:basedOn w:val="DefaultParagraphFont"/>
    <w:uiPriority w:val="32"/>
    <w:qFormat/>
    <w:rsid w:val="00671636"/>
    <w:rPr>
      <w:b/>
      <w:bCs/>
      <w:smallCaps/>
      <w:color w:val="0F4761" w:themeColor="accent1" w:themeShade="BF"/>
      <w:spacing w:val="5"/>
    </w:rPr>
  </w:style>
  <w:style w:type="table" w:styleId="TableGrid">
    <w:name w:val="Table Grid"/>
    <w:basedOn w:val="TableNormal"/>
    <w:uiPriority w:val="39"/>
    <w:rsid w:val="00671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716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microsoft-my.sharepoint.com/personal/tibarar_microsoft_com/Documents/Desktop/InsuranceSampleDocs/AnnualReports/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Sheet1!$B$57</c:f>
              <c:strCache>
                <c:ptCount val="1"/>
                <c:pt idx="0">
                  <c:v>Net Income</c:v>
                </c:pt>
              </c:strCache>
            </c:strRef>
          </c:tx>
          <c:spPr>
            <a:solidFill>
              <a:schemeClr val="accent1"/>
            </a:solidFill>
            <a:ln>
              <a:noFill/>
            </a:ln>
            <a:effectLst/>
          </c:spPr>
          <c:invertIfNegative val="0"/>
          <c:cat>
            <c:strRef>
              <c:f>Sheet1!$A$58:$A$61</c:f>
              <c:strCache>
                <c:ptCount val="4"/>
                <c:pt idx="0">
                  <c:v>APAC</c:v>
                </c:pt>
                <c:pt idx="1">
                  <c:v>EMEA</c:v>
                </c:pt>
                <c:pt idx="2">
                  <c:v>NA</c:v>
                </c:pt>
                <c:pt idx="3">
                  <c:v>LATAM</c:v>
                </c:pt>
              </c:strCache>
            </c:strRef>
          </c:cat>
          <c:val>
            <c:numRef>
              <c:f>Sheet1!$B$58:$B$61</c:f>
              <c:numCache>
                <c:formatCode>General</c:formatCode>
                <c:ptCount val="4"/>
                <c:pt idx="0">
                  <c:v>635</c:v>
                </c:pt>
                <c:pt idx="1">
                  <c:v>578</c:v>
                </c:pt>
                <c:pt idx="2">
                  <c:v>752</c:v>
                </c:pt>
                <c:pt idx="3">
                  <c:v>346</c:v>
                </c:pt>
              </c:numCache>
            </c:numRef>
          </c:val>
          <c:extLst>
            <c:ext xmlns:c16="http://schemas.microsoft.com/office/drawing/2014/chart" uri="{C3380CC4-5D6E-409C-BE32-E72D297353CC}">
              <c16:uniqueId val="{00000000-9451-4D9D-A197-AE4D17E69A99}"/>
            </c:ext>
          </c:extLst>
        </c:ser>
        <c:ser>
          <c:idx val="1"/>
          <c:order val="1"/>
          <c:tx>
            <c:strRef>
              <c:f>Sheet1!$C$57</c:f>
              <c:strCache>
                <c:ptCount val="1"/>
                <c:pt idx="0">
                  <c:v>Combined Ratio</c:v>
                </c:pt>
              </c:strCache>
            </c:strRef>
          </c:tx>
          <c:spPr>
            <a:solidFill>
              <a:schemeClr val="accent2"/>
            </a:solidFill>
            <a:ln>
              <a:noFill/>
            </a:ln>
            <a:effectLst/>
          </c:spPr>
          <c:invertIfNegative val="0"/>
          <c:cat>
            <c:strRef>
              <c:f>Sheet1!$A$58:$A$61</c:f>
              <c:strCache>
                <c:ptCount val="4"/>
                <c:pt idx="0">
                  <c:v>APAC</c:v>
                </c:pt>
                <c:pt idx="1">
                  <c:v>EMEA</c:v>
                </c:pt>
                <c:pt idx="2">
                  <c:v>NA</c:v>
                </c:pt>
                <c:pt idx="3">
                  <c:v>LATAM</c:v>
                </c:pt>
              </c:strCache>
            </c:strRef>
          </c:cat>
          <c:val>
            <c:numRef>
              <c:f>Sheet1!$C$58:$C$61</c:f>
              <c:numCache>
                <c:formatCode>General</c:formatCode>
                <c:ptCount val="4"/>
                <c:pt idx="0">
                  <c:v>85</c:v>
                </c:pt>
                <c:pt idx="1">
                  <c:v>86</c:v>
                </c:pt>
                <c:pt idx="2">
                  <c:v>88</c:v>
                </c:pt>
                <c:pt idx="3">
                  <c:v>92</c:v>
                </c:pt>
              </c:numCache>
            </c:numRef>
          </c:val>
          <c:extLst>
            <c:ext xmlns:c16="http://schemas.microsoft.com/office/drawing/2014/chart" uri="{C3380CC4-5D6E-409C-BE32-E72D297353CC}">
              <c16:uniqueId val="{00000001-9451-4D9D-A197-AE4D17E69A99}"/>
            </c:ext>
          </c:extLst>
        </c:ser>
        <c:dLbls>
          <c:showLegendKey val="0"/>
          <c:showVal val="0"/>
          <c:showCatName val="0"/>
          <c:showSerName val="0"/>
          <c:showPercent val="0"/>
          <c:showBubbleSize val="0"/>
        </c:dLbls>
        <c:gapWidth val="219"/>
        <c:overlap val="-27"/>
        <c:axId val="559565984"/>
        <c:axId val="474363728"/>
      </c:barChart>
      <c:catAx>
        <c:axId val="55956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363728"/>
        <c:crosses val="autoZero"/>
        <c:auto val="1"/>
        <c:lblAlgn val="ctr"/>
        <c:lblOffset val="100"/>
        <c:noMultiLvlLbl val="0"/>
      </c:catAx>
      <c:valAx>
        <c:axId val="47436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956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3</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Barari (TR)</dc:creator>
  <cp:keywords/>
  <dc:description/>
  <cp:lastModifiedBy>Tirthankar Barari (TR)</cp:lastModifiedBy>
  <cp:revision>2</cp:revision>
  <dcterms:created xsi:type="dcterms:W3CDTF">2024-03-19T01:57:00Z</dcterms:created>
  <dcterms:modified xsi:type="dcterms:W3CDTF">2024-03-19T02:12:00Z</dcterms:modified>
</cp:coreProperties>
</file>