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D9603" w14:textId="7D9EB2A4" w:rsidR="00773374" w:rsidRPr="00773374" w:rsidRDefault="00773374" w:rsidP="00773374">
      <w:pPr>
        <w:spacing w:before="720" w:after="720" w:line="240" w:lineRule="auto"/>
        <w:rPr>
          <w:rFonts w:ascii="Times New Roman" w:eastAsia="Times New Roman" w:hAnsi="Times New Roman" w:cs="Times New Roman"/>
          <w:sz w:val="24"/>
          <w:szCs w:val="24"/>
        </w:rPr>
      </w:pPr>
      <w:r w:rsidRPr="00C2259A">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B45A5DE" wp14:editId="59F8FABB">
                <wp:simplePos x="0" y="0"/>
                <wp:positionH relativeFrom="margin">
                  <wp:posOffset>651510</wp:posOffset>
                </wp:positionH>
                <wp:positionV relativeFrom="paragraph">
                  <wp:posOffset>342900</wp:posOffset>
                </wp:positionV>
                <wp:extent cx="4810125" cy="1404620"/>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chemeClr val="bg1"/>
                          </a:solidFill>
                          <a:miter lim="800000"/>
                          <a:headEnd/>
                          <a:tailEnd/>
                        </a:ln>
                      </wps:spPr>
                      <wps:txbx>
                        <w:txbxContent>
                          <w:p w14:paraId="1718B1A5" w14:textId="77777777" w:rsidR="00773374" w:rsidRDefault="00773374" w:rsidP="00773374">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2963B9BF" w14:textId="77777777" w:rsidR="00773374" w:rsidRPr="00B02AB8" w:rsidRDefault="00773374" w:rsidP="00773374">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45A5DE" id="_x0000_t202" coordsize="21600,21600" o:spt="202" path="m,l,21600r21600,l21600,xe">
                <v:stroke joinstyle="miter"/>
                <v:path gradientshapeok="t" o:connecttype="rect"/>
              </v:shapetype>
              <v:shape id="Text Box 2" o:spid="_x0000_s1026" type="#_x0000_t202" style="position:absolute;margin-left:51.3pt;margin-top:27pt;width:37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" strokecolor="white [3212]">
                <v:textbox style="mso-fit-shape-to-text:t">
                  <w:txbxContent>
                    <w:p w14:paraId="1718B1A5" w14:textId="77777777" w:rsidR="00773374" w:rsidRDefault="00773374" w:rsidP="00773374">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2963B9BF" w14:textId="77777777" w:rsidR="00773374" w:rsidRPr="00B02AB8" w:rsidRDefault="00773374" w:rsidP="00773374">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v:textbox>
                <w10:wrap type="square" anchorx="margin"/>
              </v:shape>
            </w:pict>
          </mc:Fallback>
        </mc:AlternateContent>
      </w:r>
      <w:r w:rsidRPr="00EB3626">
        <w:rPr>
          <w:rFonts w:ascii="Times New Roman" w:eastAsia="Times New Roman" w:hAnsi="Times New Roman" w:cs="Times New Roman"/>
          <w:noProof/>
          <w:sz w:val="24"/>
          <w:szCs w:val="24"/>
        </w:rPr>
        <w:drawing>
          <wp:inline distT="0" distB="0" distL="0" distR="0" wp14:anchorId="3FB7C3E8" wp14:editId="07E36B4F">
            <wp:extent cx="524510" cy="704809"/>
            <wp:effectExtent l="0" t="0" r="8890" b="635"/>
            <wp:docPr id="1694255231" name="Picture 1" descr="A car with an umbrella on the 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5231" name="Picture 1" descr="A car with an umbrella on the hood&#10;&#10;Description automatically generated"/>
                    <pic:cNvPicPr/>
                  </pic:nvPicPr>
                  <pic:blipFill>
                    <a:blip r:embed="rId4"/>
                    <a:stretch>
                      <a:fillRect/>
                    </a:stretch>
                  </pic:blipFill>
                  <pic:spPr>
                    <a:xfrm>
                      <a:off x="0" y="0"/>
                      <a:ext cx="582447" cy="782662"/>
                    </a:xfrm>
                    <a:prstGeom prst="rect">
                      <a:avLst/>
                    </a:prstGeom>
                  </pic:spPr>
                </pic:pic>
              </a:graphicData>
            </a:graphic>
          </wp:inline>
        </w:drawing>
      </w:r>
    </w:p>
    <w:p w14:paraId="324BEB0B" w14:textId="20E57EC0" w:rsidR="00773374" w:rsidRDefault="00773374" w:rsidP="00773374">
      <w:pPr>
        <w:pStyle w:val="Title"/>
        <w:jc w:val="center"/>
      </w:pPr>
      <w:r>
        <w:t>Annual Business Report 2018</w:t>
      </w:r>
    </w:p>
    <w:p w14:paraId="3B6C69CB" w14:textId="7D3C744E" w:rsidR="001311DE" w:rsidRDefault="001311DE" w:rsidP="00773374"/>
    <w:p w14:paraId="49235455" w14:textId="77777777" w:rsidR="001311DE" w:rsidRDefault="001311DE" w:rsidP="001311DE">
      <w:pPr>
        <w:pStyle w:val="Heading1"/>
      </w:pPr>
      <w:r>
        <w:t>Introduction</w:t>
      </w:r>
    </w:p>
    <w:p w14:paraId="302D2A54" w14:textId="49617904" w:rsidR="00773374" w:rsidRDefault="00773374" w:rsidP="00773374">
      <w:r w:rsidRPr="00773374">
        <w:t>TR Insurance is a leading global provider of property and casualty insurance, offering a wide range of solutions for individuals and businesses across various segments and regions. In 2018, the company achieved a strong performance, with net income increasing by 12.5% and net written premiums growing by 9.7% compared to 2017. The company also improved its combined ratio by 2.1 percentage points to 90.4%, reflecting its underwriting excellence and operational efficiency. The company delivered an annualized return on equity of 13.2%, surpassing its target range of 10-12%.</w:t>
      </w:r>
    </w:p>
    <w:p w14:paraId="5C340047" w14:textId="77777777" w:rsidR="00773374" w:rsidRDefault="00773374" w:rsidP="00773374">
      <w:pPr>
        <w:pStyle w:val="Heading1"/>
      </w:pPr>
      <w:r>
        <w:t>Financial Highlights by Line of Business</w:t>
      </w:r>
    </w:p>
    <w:p w14:paraId="2E29DC1A" w14:textId="77777777" w:rsidR="00773374" w:rsidRDefault="00773374" w:rsidP="00773374">
      <w:r w:rsidRPr="00773374">
        <w:t>The following table shows the financial results of each of the company's lines of business for 2018, broken down by region.</w:t>
      </w:r>
    </w:p>
    <w:tbl>
      <w:tblPr>
        <w:tblStyle w:val="PlainTable1"/>
        <w:tblW w:w="0" w:type="auto"/>
        <w:tblLook w:val="0420" w:firstRow="1" w:lastRow="0" w:firstColumn="0" w:lastColumn="0" w:noHBand="0" w:noVBand="1"/>
      </w:tblPr>
      <w:tblGrid>
        <w:gridCol w:w="1870"/>
        <w:gridCol w:w="1870"/>
        <w:gridCol w:w="1870"/>
        <w:gridCol w:w="1870"/>
        <w:gridCol w:w="1870"/>
      </w:tblGrid>
      <w:tr w:rsidR="00773374" w:rsidRPr="00773374" w14:paraId="1D4B0039" w14:textId="77777777" w:rsidTr="00773374">
        <w:trPr>
          <w:cnfStyle w:val="100000000000" w:firstRow="1" w:lastRow="0" w:firstColumn="0" w:lastColumn="0" w:oddVBand="0" w:evenVBand="0" w:oddHBand="0" w:evenHBand="0" w:firstRowFirstColumn="0" w:firstRowLastColumn="0" w:lastRowFirstColumn="0" w:lastRowLastColumn="0"/>
        </w:trPr>
        <w:tc>
          <w:tcPr>
            <w:tcW w:w="1870" w:type="dxa"/>
          </w:tcPr>
          <w:p w14:paraId="23EFE162" w14:textId="61544E11" w:rsidR="00773374" w:rsidRPr="00773374" w:rsidRDefault="00773374" w:rsidP="00773374">
            <w:r w:rsidRPr="00773374">
              <w:t>Line of Business</w:t>
            </w:r>
          </w:p>
        </w:tc>
        <w:tc>
          <w:tcPr>
            <w:tcW w:w="1870" w:type="dxa"/>
          </w:tcPr>
          <w:p w14:paraId="44A62972" w14:textId="7A43C753" w:rsidR="00773374" w:rsidRPr="00773374" w:rsidRDefault="00773374" w:rsidP="00773374">
            <w:r w:rsidRPr="00773374">
              <w:t>Region</w:t>
            </w:r>
          </w:p>
        </w:tc>
        <w:tc>
          <w:tcPr>
            <w:tcW w:w="1870" w:type="dxa"/>
          </w:tcPr>
          <w:p w14:paraId="3590CC46" w14:textId="1542C39A" w:rsidR="00773374" w:rsidRPr="00773374" w:rsidRDefault="00773374" w:rsidP="00773374">
            <w:r w:rsidRPr="00773374">
              <w:t>Net Written Premiums</w:t>
            </w:r>
          </w:p>
        </w:tc>
        <w:tc>
          <w:tcPr>
            <w:tcW w:w="1870" w:type="dxa"/>
          </w:tcPr>
          <w:p w14:paraId="0EF97119" w14:textId="3D569594" w:rsidR="00773374" w:rsidRPr="00773374" w:rsidRDefault="00773374" w:rsidP="00773374">
            <w:r w:rsidRPr="00773374">
              <w:t>Net Income</w:t>
            </w:r>
          </w:p>
        </w:tc>
        <w:tc>
          <w:tcPr>
            <w:tcW w:w="1870" w:type="dxa"/>
          </w:tcPr>
          <w:p w14:paraId="1274937E" w14:textId="3DB5362B" w:rsidR="00773374" w:rsidRPr="00773374" w:rsidRDefault="00773374" w:rsidP="00773374">
            <w:r w:rsidRPr="00773374">
              <w:t>Combined Ratio</w:t>
            </w:r>
          </w:p>
        </w:tc>
      </w:tr>
      <w:tr w:rsidR="00773374" w:rsidRPr="00773374" w14:paraId="0796E3FA"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70F8DFF4" w14:textId="42B4A318" w:rsidR="00773374" w:rsidRPr="00773374" w:rsidRDefault="00773374" w:rsidP="00773374">
            <w:r w:rsidRPr="00773374">
              <w:t>Auto</w:t>
            </w:r>
          </w:p>
        </w:tc>
        <w:tc>
          <w:tcPr>
            <w:tcW w:w="1870" w:type="dxa"/>
          </w:tcPr>
          <w:p w14:paraId="16B48FBA" w14:textId="26E1AF2E" w:rsidR="00773374" w:rsidRPr="00773374" w:rsidRDefault="00773374" w:rsidP="00773374">
            <w:r w:rsidRPr="00773374">
              <w:t>APAC</w:t>
            </w:r>
          </w:p>
        </w:tc>
        <w:tc>
          <w:tcPr>
            <w:tcW w:w="1870" w:type="dxa"/>
          </w:tcPr>
          <w:p w14:paraId="27FA89CB" w14:textId="3B0A3AEC" w:rsidR="00773374" w:rsidRPr="00773374" w:rsidRDefault="00773374" w:rsidP="00773374">
            <w:r w:rsidRPr="00773374">
              <w:t>1,234</w:t>
            </w:r>
          </w:p>
        </w:tc>
        <w:tc>
          <w:tcPr>
            <w:tcW w:w="1870" w:type="dxa"/>
          </w:tcPr>
          <w:p w14:paraId="51850590" w14:textId="128346F4" w:rsidR="00773374" w:rsidRPr="00773374" w:rsidRDefault="00773374" w:rsidP="00773374">
            <w:r w:rsidRPr="00773374">
              <w:t>234</w:t>
            </w:r>
          </w:p>
        </w:tc>
        <w:tc>
          <w:tcPr>
            <w:tcW w:w="1870" w:type="dxa"/>
          </w:tcPr>
          <w:p w14:paraId="773356D3" w14:textId="5145C29A" w:rsidR="00773374" w:rsidRPr="00773374" w:rsidRDefault="00773374" w:rsidP="00773374">
            <w:r w:rsidRPr="00773374">
              <w:t>88.5%</w:t>
            </w:r>
          </w:p>
        </w:tc>
      </w:tr>
      <w:tr w:rsidR="00773374" w:rsidRPr="00773374" w14:paraId="41FF87F5" w14:textId="77777777" w:rsidTr="00773374">
        <w:tc>
          <w:tcPr>
            <w:tcW w:w="1870" w:type="dxa"/>
          </w:tcPr>
          <w:p w14:paraId="4291273A" w14:textId="030F8BD0" w:rsidR="00773374" w:rsidRPr="00773374" w:rsidRDefault="00773374" w:rsidP="00773374">
            <w:r w:rsidRPr="00773374">
              <w:t>Auto</w:t>
            </w:r>
          </w:p>
        </w:tc>
        <w:tc>
          <w:tcPr>
            <w:tcW w:w="1870" w:type="dxa"/>
          </w:tcPr>
          <w:p w14:paraId="559AA5E0" w14:textId="06735AD2" w:rsidR="00773374" w:rsidRPr="00773374" w:rsidRDefault="00773374" w:rsidP="00773374">
            <w:r w:rsidRPr="00773374">
              <w:t>EMEA</w:t>
            </w:r>
          </w:p>
        </w:tc>
        <w:tc>
          <w:tcPr>
            <w:tcW w:w="1870" w:type="dxa"/>
          </w:tcPr>
          <w:p w14:paraId="28DA58FE" w14:textId="126FDCDF" w:rsidR="00773374" w:rsidRPr="00773374" w:rsidRDefault="00773374" w:rsidP="00773374">
            <w:r w:rsidRPr="00773374">
              <w:t>1,456</w:t>
            </w:r>
          </w:p>
        </w:tc>
        <w:tc>
          <w:tcPr>
            <w:tcW w:w="1870" w:type="dxa"/>
          </w:tcPr>
          <w:p w14:paraId="5B94E136" w14:textId="6879126B" w:rsidR="00773374" w:rsidRPr="00773374" w:rsidRDefault="00773374" w:rsidP="00773374">
            <w:r w:rsidRPr="00773374">
              <w:t>256</w:t>
            </w:r>
          </w:p>
        </w:tc>
        <w:tc>
          <w:tcPr>
            <w:tcW w:w="1870" w:type="dxa"/>
          </w:tcPr>
          <w:p w14:paraId="7990C5C1" w14:textId="07C48567" w:rsidR="00773374" w:rsidRPr="00773374" w:rsidRDefault="00773374" w:rsidP="00773374">
            <w:r w:rsidRPr="00773374">
              <w:t>89.7%</w:t>
            </w:r>
          </w:p>
        </w:tc>
      </w:tr>
      <w:tr w:rsidR="00773374" w:rsidRPr="00773374" w14:paraId="5D820708"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0678B292" w14:textId="60549679" w:rsidR="00773374" w:rsidRPr="00773374" w:rsidRDefault="00773374" w:rsidP="00773374">
            <w:r w:rsidRPr="00773374">
              <w:t>Auto</w:t>
            </w:r>
          </w:p>
        </w:tc>
        <w:tc>
          <w:tcPr>
            <w:tcW w:w="1870" w:type="dxa"/>
          </w:tcPr>
          <w:p w14:paraId="5F6743E8" w14:textId="281D7CA5" w:rsidR="00773374" w:rsidRPr="00773374" w:rsidRDefault="00773374" w:rsidP="00773374">
            <w:r w:rsidRPr="00773374">
              <w:t>NA</w:t>
            </w:r>
          </w:p>
        </w:tc>
        <w:tc>
          <w:tcPr>
            <w:tcW w:w="1870" w:type="dxa"/>
          </w:tcPr>
          <w:p w14:paraId="17A51651" w14:textId="0E4393DF" w:rsidR="00773374" w:rsidRPr="00773374" w:rsidRDefault="00773374" w:rsidP="00773374">
            <w:r w:rsidRPr="00773374">
              <w:t>2,345</w:t>
            </w:r>
          </w:p>
        </w:tc>
        <w:tc>
          <w:tcPr>
            <w:tcW w:w="1870" w:type="dxa"/>
          </w:tcPr>
          <w:p w14:paraId="3355DEA5" w14:textId="518C81E4" w:rsidR="00773374" w:rsidRPr="00773374" w:rsidRDefault="00773374" w:rsidP="00773374">
            <w:r w:rsidRPr="00773374">
              <w:t>345</w:t>
            </w:r>
          </w:p>
        </w:tc>
        <w:tc>
          <w:tcPr>
            <w:tcW w:w="1870" w:type="dxa"/>
          </w:tcPr>
          <w:p w14:paraId="004B22C8" w14:textId="165FE44B" w:rsidR="00773374" w:rsidRPr="00773374" w:rsidRDefault="00773374" w:rsidP="00773374">
            <w:r w:rsidRPr="00773374">
              <w:t>90.2%</w:t>
            </w:r>
          </w:p>
        </w:tc>
      </w:tr>
      <w:tr w:rsidR="00773374" w:rsidRPr="00773374" w14:paraId="5AC50B73" w14:textId="77777777" w:rsidTr="00773374">
        <w:tc>
          <w:tcPr>
            <w:tcW w:w="1870" w:type="dxa"/>
          </w:tcPr>
          <w:p w14:paraId="363266F4" w14:textId="5455301D" w:rsidR="00773374" w:rsidRPr="00773374" w:rsidRDefault="00773374" w:rsidP="00773374">
            <w:r w:rsidRPr="00773374">
              <w:t>Auto</w:t>
            </w:r>
          </w:p>
        </w:tc>
        <w:tc>
          <w:tcPr>
            <w:tcW w:w="1870" w:type="dxa"/>
          </w:tcPr>
          <w:p w14:paraId="46A47449" w14:textId="6323B39B" w:rsidR="00773374" w:rsidRPr="00773374" w:rsidRDefault="00773374" w:rsidP="00773374">
            <w:r w:rsidRPr="00773374">
              <w:t>LATAM</w:t>
            </w:r>
          </w:p>
        </w:tc>
        <w:tc>
          <w:tcPr>
            <w:tcW w:w="1870" w:type="dxa"/>
          </w:tcPr>
          <w:p w14:paraId="2E0DDF99" w14:textId="6BAE30CD" w:rsidR="00773374" w:rsidRPr="00773374" w:rsidRDefault="00773374" w:rsidP="00773374">
            <w:r w:rsidRPr="00773374">
              <w:t>567</w:t>
            </w:r>
          </w:p>
        </w:tc>
        <w:tc>
          <w:tcPr>
            <w:tcW w:w="1870" w:type="dxa"/>
          </w:tcPr>
          <w:p w14:paraId="6547CA92" w14:textId="14930D1B" w:rsidR="00773374" w:rsidRPr="00773374" w:rsidRDefault="00773374" w:rsidP="00773374">
            <w:r w:rsidRPr="00773374">
              <w:t>67</w:t>
            </w:r>
          </w:p>
        </w:tc>
        <w:tc>
          <w:tcPr>
            <w:tcW w:w="1870" w:type="dxa"/>
          </w:tcPr>
          <w:p w14:paraId="0E3322A7" w14:textId="686A762F" w:rsidR="00773374" w:rsidRPr="00773374" w:rsidRDefault="00773374" w:rsidP="00773374">
            <w:r w:rsidRPr="00773374">
              <w:t>91.8%</w:t>
            </w:r>
          </w:p>
        </w:tc>
      </w:tr>
      <w:tr w:rsidR="00773374" w:rsidRPr="00773374" w14:paraId="723BB33E"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5EB43436" w14:textId="775854F2" w:rsidR="00773374" w:rsidRPr="00773374" w:rsidRDefault="00773374" w:rsidP="00773374">
            <w:r w:rsidRPr="00773374">
              <w:t>Home</w:t>
            </w:r>
          </w:p>
        </w:tc>
        <w:tc>
          <w:tcPr>
            <w:tcW w:w="1870" w:type="dxa"/>
          </w:tcPr>
          <w:p w14:paraId="4243E411" w14:textId="12BFB8D6" w:rsidR="00773374" w:rsidRPr="00773374" w:rsidRDefault="00773374" w:rsidP="00773374">
            <w:r w:rsidRPr="00773374">
              <w:t>APAC</w:t>
            </w:r>
          </w:p>
        </w:tc>
        <w:tc>
          <w:tcPr>
            <w:tcW w:w="1870" w:type="dxa"/>
          </w:tcPr>
          <w:p w14:paraId="419141F5" w14:textId="60229307" w:rsidR="00773374" w:rsidRPr="00773374" w:rsidRDefault="00773374" w:rsidP="00773374">
            <w:r w:rsidRPr="00773374">
              <w:t>789</w:t>
            </w:r>
          </w:p>
        </w:tc>
        <w:tc>
          <w:tcPr>
            <w:tcW w:w="1870" w:type="dxa"/>
          </w:tcPr>
          <w:p w14:paraId="7C9C2F6A" w14:textId="296F509B" w:rsidR="00773374" w:rsidRPr="00773374" w:rsidRDefault="00773374" w:rsidP="00773374">
            <w:r w:rsidRPr="00773374">
              <w:t>89</w:t>
            </w:r>
          </w:p>
        </w:tc>
        <w:tc>
          <w:tcPr>
            <w:tcW w:w="1870" w:type="dxa"/>
          </w:tcPr>
          <w:p w14:paraId="0ED3E66E" w14:textId="2E7414B7" w:rsidR="00773374" w:rsidRPr="00773374" w:rsidRDefault="00773374" w:rsidP="00773374">
            <w:r w:rsidRPr="00773374">
              <w:t>87.4%</w:t>
            </w:r>
          </w:p>
        </w:tc>
      </w:tr>
      <w:tr w:rsidR="00773374" w:rsidRPr="00773374" w14:paraId="594A9419" w14:textId="77777777" w:rsidTr="00773374">
        <w:tc>
          <w:tcPr>
            <w:tcW w:w="1870" w:type="dxa"/>
          </w:tcPr>
          <w:p w14:paraId="526A2C62" w14:textId="1D20567B" w:rsidR="00773374" w:rsidRPr="00773374" w:rsidRDefault="00773374" w:rsidP="00773374">
            <w:r w:rsidRPr="00773374">
              <w:t>Home</w:t>
            </w:r>
          </w:p>
        </w:tc>
        <w:tc>
          <w:tcPr>
            <w:tcW w:w="1870" w:type="dxa"/>
          </w:tcPr>
          <w:p w14:paraId="4E3597CC" w14:textId="7CA26686" w:rsidR="00773374" w:rsidRPr="00773374" w:rsidRDefault="00773374" w:rsidP="00773374">
            <w:r w:rsidRPr="00773374">
              <w:t>EMEA</w:t>
            </w:r>
          </w:p>
        </w:tc>
        <w:tc>
          <w:tcPr>
            <w:tcW w:w="1870" w:type="dxa"/>
          </w:tcPr>
          <w:p w14:paraId="790D5209" w14:textId="7D442B92" w:rsidR="00773374" w:rsidRPr="00773374" w:rsidRDefault="00773374" w:rsidP="00773374">
            <w:r w:rsidRPr="00773374">
              <w:t>901</w:t>
            </w:r>
          </w:p>
        </w:tc>
        <w:tc>
          <w:tcPr>
            <w:tcW w:w="1870" w:type="dxa"/>
          </w:tcPr>
          <w:p w14:paraId="0F1116D0" w14:textId="3B487AD9" w:rsidR="00773374" w:rsidRPr="00773374" w:rsidRDefault="00773374" w:rsidP="00773374">
            <w:r w:rsidRPr="00773374">
              <w:t>101</w:t>
            </w:r>
          </w:p>
        </w:tc>
        <w:tc>
          <w:tcPr>
            <w:tcW w:w="1870" w:type="dxa"/>
          </w:tcPr>
          <w:p w14:paraId="1DA4E0A3" w14:textId="669DA594" w:rsidR="00773374" w:rsidRPr="00773374" w:rsidRDefault="00773374" w:rsidP="00773374">
            <w:r w:rsidRPr="00773374">
              <w:t>88.6%</w:t>
            </w:r>
          </w:p>
        </w:tc>
      </w:tr>
      <w:tr w:rsidR="00773374" w:rsidRPr="00773374" w14:paraId="3D683056"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534A0384" w14:textId="61131999" w:rsidR="00773374" w:rsidRPr="00773374" w:rsidRDefault="00773374" w:rsidP="00773374">
            <w:r w:rsidRPr="00773374">
              <w:t>Home</w:t>
            </w:r>
          </w:p>
        </w:tc>
        <w:tc>
          <w:tcPr>
            <w:tcW w:w="1870" w:type="dxa"/>
          </w:tcPr>
          <w:p w14:paraId="5975C6CE" w14:textId="34C9F1ED" w:rsidR="00773374" w:rsidRPr="00773374" w:rsidRDefault="00773374" w:rsidP="00773374">
            <w:r w:rsidRPr="00773374">
              <w:t>NA</w:t>
            </w:r>
          </w:p>
        </w:tc>
        <w:tc>
          <w:tcPr>
            <w:tcW w:w="1870" w:type="dxa"/>
          </w:tcPr>
          <w:p w14:paraId="1658AAE0" w14:textId="4252E7CA" w:rsidR="00773374" w:rsidRPr="00773374" w:rsidRDefault="00773374" w:rsidP="00773374">
            <w:r w:rsidRPr="00773374">
              <w:t>1,678</w:t>
            </w:r>
          </w:p>
        </w:tc>
        <w:tc>
          <w:tcPr>
            <w:tcW w:w="1870" w:type="dxa"/>
          </w:tcPr>
          <w:p w14:paraId="62A00547" w14:textId="0193104C" w:rsidR="00773374" w:rsidRPr="00773374" w:rsidRDefault="00773374" w:rsidP="00773374">
            <w:r w:rsidRPr="00773374">
              <w:t>178</w:t>
            </w:r>
          </w:p>
        </w:tc>
        <w:tc>
          <w:tcPr>
            <w:tcW w:w="1870" w:type="dxa"/>
          </w:tcPr>
          <w:p w14:paraId="2FF74D96" w14:textId="01E4D3E8" w:rsidR="00773374" w:rsidRPr="00773374" w:rsidRDefault="00773374" w:rsidP="00773374">
            <w:r w:rsidRPr="00773374">
              <w:t>89.3%</w:t>
            </w:r>
          </w:p>
        </w:tc>
      </w:tr>
      <w:tr w:rsidR="00773374" w:rsidRPr="00773374" w14:paraId="7EAD4391" w14:textId="77777777" w:rsidTr="00773374">
        <w:tc>
          <w:tcPr>
            <w:tcW w:w="1870" w:type="dxa"/>
          </w:tcPr>
          <w:p w14:paraId="78DB95C4" w14:textId="58060C08" w:rsidR="00773374" w:rsidRPr="00773374" w:rsidRDefault="00773374" w:rsidP="00773374">
            <w:r w:rsidRPr="00773374">
              <w:t>Home</w:t>
            </w:r>
          </w:p>
        </w:tc>
        <w:tc>
          <w:tcPr>
            <w:tcW w:w="1870" w:type="dxa"/>
          </w:tcPr>
          <w:p w14:paraId="1B0D843B" w14:textId="7B088092" w:rsidR="00773374" w:rsidRPr="00773374" w:rsidRDefault="00773374" w:rsidP="00773374">
            <w:r w:rsidRPr="00773374">
              <w:t>LATAM</w:t>
            </w:r>
          </w:p>
        </w:tc>
        <w:tc>
          <w:tcPr>
            <w:tcW w:w="1870" w:type="dxa"/>
          </w:tcPr>
          <w:p w14:paraId="70968101" w14:textId="10394FF0" w:rsidR="00773374" w:rsidRPr="00773374" w:rsidRDefault="00773374" w:rsidP="00773374">
            <w:r w:rsidRPr="00773374">
              <w:t>345</w:t>
            </w:r>
          </w:p>
        </w:tc>
        <w:tc>
          <w:tcPr>
            <w:tcW w:w="1870" w:type="dxa"/>
          </w:tcPr>
          <w:p w14:paraId="58DFFEB2" w14:textId="01BC5713" w:rsidR="00773374" w:rsidRPr="00773374" w:rsidRDefault="00773374" w:rsidP="00773374">
            <w:r w:rsidRPr="00773374">
              <w:t>45</w:t>
            </w:r>
          </w:p>
        </w:tc>
        <w:tc>
          <w:tcPr>
            <w:tcW w:w="1870" w:type="dxa"/>
          </w:tcPr>
          <w:p w14:paraId="243ACBE8" w14:textId="31651FD0" w:rsidR="00773374" w:rsidRPr="00773374" w:rsidRDefault="00773374" w:rsidP="00773374">
            <w:r w:rsidRPr="00773374">
              <w:t>90.5%</w:t>
            </w:r>
          </w:p>
        </w:tc>
      </w:tr>
      <w:tr w:rsidR="00773374" w:rsidRPr="00773374" w14:paraId="7756296F"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17CADF6D" w14:textId="3F807EC3" w:rsidR="00773374" w:rsidRPr="00773374" w:rsidRDefault="00773374" w:rsidP="00773374">
            <w:r w:rsidRPr="00773374">
              <w:t>Small Business</w:t>
            </w:r>
          </w:p>
        </w:tc>
        <w:tc>
          <w:tcPr>
            <w:tcW w:w="1870" w:type="dxa"/>
          </w:tcPr>
          <w:p w14:paraId="5CEA1BF5" w14:textId="3F8BC6FF" w:rsidR="00773374" w:rsidRPr="00773374" w:rsidRDefault="00773374" w:rsidP="00773374">
            <w:r w:rsidRPr="00773374">
              <w:t>APAC</w:t>
            </w:r>
          </w:p>
        </w:tc>
        <w:tc>
          <w:tcPr>
            <w:tcW w:w="1870" w:type="dxa"/>
          </w:tcPr>
          <w:p w14:paraId="1C3F6B29" w14:textId="705DFB67" w:rsidR="00773374" w:rsidRPr="00773374" w:rsidRDefault="00773374" w:rsidP="00773374">
            <w:r w:rsidRPr="00773374">
              <w:t>456</w:t>
            </w:r>
          </w:p>
        </w:tc>
        <w:tc>
          <w:tcPr>
            <w:tcW w:w="1870" w:type="dxa"/>
          </w:tcPr>
          <w:p w14:paraId="47FEBF9D" w14:textId="6082854B" w:rsidR="00773374" w:rsidRPr="00773374" w:rsidRDefault="00773374" w:rsidP="00773374">
            <w:r w:rsidRPr="00773374">
              <w:t>56</w:t>
            </w:r>
          </w:p>
        </w:tc>
        <w:tc>
          <w:tcPr>
            <w:tcW w:w="1870" w:type="dxa"/>
          </w:tcPr>
          <w:p w14:paraId="1309BAF6" w14:textId="0A407739" w:rsidR="00773374" w:rsidRPr="00773374" w:rsidRDefault="00773374" w:rsidP="00773374">
            <w:r w:rsidRPr="00773374">
              <w:t>86.7%</w:t>
            </w:r>
          </w:p>
        </w:tc>
      </w:tr>
      <w:tr w:rsidR="00773374" w:rsidRPr="00773374" w14:paraId="6B77D46E" w14:textId="77777777" w:rsidTr="00773374">
        <w:tc>
          <w:tcPr>
            <w:tcW w:w="1870" w:type="dxa"/>
          </w:tcPr>
          <w:p w14:paraId="101A4D1F" w14:textId="6F1D7B37" w:rsidR="00773374" w:rsidRPr="00773374" w:rsidRDefault="00773374" w:rsidP="00773374">
            <w:r w:rsidRPr="00773374">
              <w:t>Small Business</w:t>
            </w:r>
          </w:p>
        </w:tc>
        <w:tc>
          <w:tcPr>
            <w:tcW w:w="1870" w:type="dxa"/>
          </w:tcPr>
          <w:p w14:paraId="5C0D5A5A" w14:textId="590CE58A" w:rsidR="00773374" w:rsidRPr="00773374" w:rsidRDefault="00773374" w:rsidP="00773374">
            <w:r w:rsidRPr="00773374">
              <w:t>EMEA</w:t>
            </w:r>
          </w:p>
        </w:tc>
        <w:tc>
          <w:tcPr>
            <w:tcW w:w="1870" w:type="dxa"/>
          </w:tcPr>
          <w:p w14:paraId="07502277" w14:textId="5ECEC303" w:rsidR="00773374" w:rsidRPr="00773374" w:rsidRDefault="00773374" w:rsidP="00773374">
            <w:r w:rsidRPr="00773374">
              <w:t>567</w:t>
            </w:r>
          </w:p>
        </w:tc>
        <w:tc>
          <w:tcPr>
            <w:tcW w:w="1870" w:type="dxa"/>
          </w:tcPr>
          <w:p w14:paraId="2846D4B2" w14:textId="3D1C28CD" w:rsidR="00773374" w:rsidRPr="00773374" w:rsidRDefault="00773374" w:rsidP="00773374">
            <w:r w:rsidRPr="00773374">
              <w:t>67</w:t>
            </w:r>
          </w:p>
        </w:tc>
        <w:tc>
          <w:tcPr>
            <w:tcW w:w="1870" w:type="dxa"/>
          </w:tcPr>
          <w:p w14:paraId="405A839C" w14:textId="7C560AB9" w:rsidR="00773374" w:rsidRPr="00773374" w:rsidRDefault="00773374" w:rsidP="00773374">
            <w:r w:rsidRPr="00773374">
              <w:t>87.9%</w:t>
            </w:r>
          </w:p>
        </w:tc>
      </w:tr>
      <w:tr w:rsidR="00773374" w:rsidRPr="00773374" w14:paraId="580877C5"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2E232951" w14:textId="57E7A2B9" w:rsidR="00773374" w:rsidRPr="00773374" w:rsidRDefault="00773374" w:rsidP="00773374">
            <w:r w:rsidRPr="00773374">
              <w:t>Small Business</w:t>
            </w:r>
          </w:p>
        </w:tc>
        <w:tc>
          <w:tcPr>
            <w:tcW w:w="1870" w:type="dxa"/>
          </w:tcPr>
          <w:p w14:paraId="15F4CB0A" w14:textId="6C5A6B18" w:rsidR="00773374" w:rsidRPr="00773374" w:rsidRDefault="00773374" w:rsidP="00773374">
            <w:r w:rsidRPr="00773374">
              <w:t>NA</w:t>
            </w:r>
          </w:p>
        </w:tc>
        <w:tc>
          <w:tcPr>
            <w:tcW w:w="1870" w:type="dxa"/>
          </w:tcPr>
          <w:p w14:paraId="6B1E0477" w14:textId="63CB7A64" w:rsidR="00773374" w:rsidRPr="00773374" w:rsidRDefault="00773374" w:rsidP="00773374">
            <w:r w:rsidRPr="00773374">
              <w:t>1,234</w:t>
            </w:r>
          </w:p>
        </w:tc>
        <w:tc>
          <w:tcPr>
            <w:tcW w:w="1870" w:type="dxa"/>
          </w:tcPr>
          <w:p w14:paraId="799E2E28" w14:textId="10234624" w:rsidR="00773374" w:rsidRPr="00773374" w:rsidRDefault="00773374" w:rsidP="00773374">
            <w:r w:rsidRPr="00773374">
              <w:t>134</w:t>
            </w:r>
          </w:p>
        </w:tc>
        <w:tc>
          <w:tcPr>
            <w:tcW w:w="1870" w:type="dxa"/>
          </w:tcPr>
          <w:p w14:paraId="445DA825" w14:textId="34469790" w:rsidR="00773374" w:rsidRPr="00773374" w:rsidRDefault="00773374" w:rsidP="00773374">
            <w:r w:rsidRPr="00773374">
              <w:t>88.4%</w:t>
            </w:r>
          </w:p>
        </w:tc>
      </w:tr>
      <w:tr w:rsidR="00773374" w:rsidRPr="00773374" w14:paraId="5A1BA262" w14:textId="77777777" w:rsidTr="00773374">
        <w:tc>
          <w:tcPr>
            <w:tcW w:w="1870" w:type="dxa"/>
          </w:tcPr>
          <w:p w14:paraId="08CE196E" w14:textId="71316A5E" w:rsidR="00773374" w:rsidRPr="00773374" w:rsidRDefault="00773374" w:rsidP="00773374">
            <w:r w:rsidRPr="00773374">
              <w:t>Small Business</w:t>
            </w:r>
          </w:p>
        </w:tc>
        <w:tc>
          <w:tcPr>
            <w:tcW w:w="1870" w:type="dxa"/>
          </w:tcPr>
          <w:p w14:paraId="65B237FF" w14:textId="0FCA9BBA" w:rsidR="00773374" w:rsidRPr="00773374" w:rsidRDefault="00773374" w:rsidP="00773374">
            <w:r w:rsidRPr="00773374">
              <w:t>LATAM</w:t>
            </w:r>
          </w:p>
        </w:tc>
        <w:tc>
          <w:tcPr>
            <w:tcW w:w="1870" w:type="dxa"/>
          </w:tcPr>
          <w:p w14:paraId="011B23D5" w14:textId="6AC4E08C" w:rsidR="00773374" w:rsidRPr="00773374" w:rsidRDefault="00773374" w:rsidP="00773374">
            <w:r w:rsidRPr="00773374">
              <w:t>234</w:t>
            </w:r>
          </w:p>
        </w:tc>
        <w:tc>
          <w:tcPr>
            <w:tcW w:w="1870" w:type="dxa"/>
          </w:tcPr>
          <w:p w14:paraId="093A4EF7" w14:textId="1DE73A9F" w:rsidR="00773374" w:rsidRPr="00773374" w:rsidRDefault="00773374" w:rsidP="00773374">
            <w:r w:rsidRPr="00773374">
              <w:t>34</w:t>
            </w:r>
          </w:p>
        </w:tc>
        <w:tc>
          <w:tcPr>
            <w:tcW w:w="1870" w:type="dxa"/>
          </w:tcPr>
          <w:p w14:paraId="1CF41022" w14:textId="4AC09EA2" w:rsidR="00773374" w:rsidRPr="00773374" w:rsidRDefault="00773374" w:rsidP="00773374">
            <w:r w:rsidRPr="00773374">
              <w:t>89.6%</w:t>
            </w:r>
          </w:p>
        </w:tc>
      </w:tr>
      <w:tr w:rsidR="00773374" w:rsidRPr="00773374" w14:paraId="79557E93"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66944055" w14:textId="5FE5C031" w:rsidR="00773374" w:rsidRPr="00773374" w:rsidRDefault="00773374" w:rsidP="00773374">
            <w:r w:rsidRPr="00773374">
              <w:t>Specialty Insurance</w:t>
            </w:r>
          </w:p>
        </w:tc>
        <w:tc>
          <w:tcPr>
            <w:tcW w:w="1870" w:type="dxa"/>
          </w:tcPr>
          <w:p w14:paraId="6074F583" w14:textId="0C0AFC22" w:rsidR="00773374" w:rsidRPr="00773374" w:rsidRDefault="00773374" w:rsidP="00773374">
            <w:r w:rsidRPr="00773374">
              <w:t>APAC</w:t>
            </w:r>
          </w:p>
        </w:tc>
        <w:tc>
          <w:tcPr>
            <w:tcW w:w="1870" w:type="dxa"/>
          </w:tcPr>
          <w:p w14:paraId="01FB8D5E" w14:textId="1C776026" w:rsidR="00773374" w:rsidRPr="00773374" w:rsidRDefault="00773374" w:rsidP="00773374">
            <w:r w:rsidRPr="00773374">
              <w:t>345</w:t>
            </w:r>
          </w:p>
        </w:tc>
        <w:tc>
          <w:tcPr>
            <w:tcW w:w="1870" w:type="dxa"/>
          </w:tcPr>
          <w:p w14:paraId="2A6AFC68" w14:textId="2AB04355" w:rsidR="00773374" w:rsidRPr="00773374" w:rsidRDefault="00773374" w:rsidP="00773374">
            <w:r w:rsidRPr="00773374">
              <w:t>45</w:t>
            </w:r>
          </w:p>
        </w:tc>
        <w:tc>
          <w:tcPr>
            <w:tcW w:w="1870" w:type="dxa"/>
          </w:tcPr>
          <w:p w14:paraId="6561F088" w14:textId="4713F031" w:rsidR="00773374" w:rsidRPr="00773374" w:rsidRDefault="00773374" w:rsidP="00773374">
            <w:r w:rsidRPr="00773374">
              <w:t>85.8%</w:t>
            </w:r>
          </w:p>
        </w:tc>
      </w:tr>
      <w:tr w:rsidR="00773374" w:rsidRPr="00773374" w14:paraId="5A444315" w14:textId="77777777" w:rsidTr="00773374">
        <w:tc>
          <w:tcPr>
            <w:tcW w:w="1870" w:type="dxa"/>
          </w:tcPr>
          <w:p w14:paraId="1DDCD765" w14:textId="07CE74D1" w:rsidR="00773374" w:rsidRPr="00773374" w:rsidRDefault="00773374" w:rsidP="00773374">
            <w:r w:rsidRPr="00773374">
              <w:lastRenderedPageBreak/>
              <w:t>Specialty Insurance</w:t>
            </w:r>
          </w:p>
        </w:tc>
        <w:tc>
          <w:tcPr>
            <w:tcW w:w="1870" w:type="dxa"/>
          </w:tcPr>
          <w:p w14:paraId="3C3FECF9" w14:textId="166436E4" w:rsidR="00773374" w:rsidRPr="00773374" w:rsidRDefault="00773374" w:rsidP="00773374">
            <w:r w:rsidRPr="00773374">
              <w:t>EMEA</w:t>
            </w:r>
          </w:p>
        </w:tc>
        <w:tc>
          <w:tcPr>
            <w:tcW w:w="1870" w:type="dxa"/>
          </w:tcPr>
          <w:p w14:paraId="7B72D788" w14:textId="1D9A8ED0" w:rsidR="00773374" w:rsidRPr="00773374" w:rsidRDefault="00773374" w:rsidP="00773374">
            <w:r w:rsidRPr="00773374">
              <w:t>456</w:t>
            </w:r>
          </w:p>
        </w:tc>
        <w:tc>
          <w:tcPr>
            <w:tcW w:w="1870" w:type="dxa"/>
          </w:tcPr>
          <w:p w14:paraId="7FC37CC1" w14:textId="4D658E10" w:rsidR="00773374" w:rsidRPr="00773374" w:rsidRDefault="00773374" w:rsidP="00773374">
            <w:r w:rsidRPr="00773374">
              <w:t>56</w:t>
            </w:r>
          </w:p>
        </w:tc>
        <w:tc>
          <w:tcPr>
            <w:tcW w:w="1870" w:type="dxa"/>
          </w:tcPr>
          <w:p w14:paraId="0995FE2A" w14:textId="4C07E71C" w:rsidR="00773374" w:rsidRPr="00773374" w:rsidRDefault="00773374" w:rsidP="00773374">
            <w:r w:rsidRPr="00773374">
              <w:t>86.5%</w:t>
            </w:r>
          </w:p>
        </w:tc>
      </w:tr>
      <w:tr w:rsidR="00773374" w:rsidRPr="00773374" w14:paraId="593A94A8"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72DBA2FC" w14:textId="3765E758" w:rsidR="00773374" w:rsidRPr="00773374" w:rsidRDefault="00773374" w:rsidP="00773374">
            <w:r w:rsidRPr="00773374">
              <w:t>Specialty Insurance</w:t>
            </w:r>
          </w:p>
        </w:tc>
        <w:tc>
          <w:tcPr>
            <w:tcW w:w="1870" w:type="dxa"/>
          </w:tcPr>
          <w:p w14:paraId="6F089F65" w14:textId="5B68ED8A" w:rsidR="00773374" w:rsidRPr="00773374" w:rsidRDefault="00773374" w:rsidP="00773374">
            <w:r w:rsidRPr="00773374">
              <w:t>NA</w:t>
            </w:r>
          </w:p>
        </w:tc>
        <w:tc>
          <w:tcPr>
            <w:tcW w:w="1870" w:type="dxa"/>
          </w:tcPr>
          <w:p w14:paraId="38D7DDA7" w14:textId="636DA76A" w:rsidR="00773374" w:rsidRPr="00773374" w:rsidRDefault="00773374" w:rsidP="00773374">
            <w:r w:rsidRPr="00773374">
              <w:t>789</w:t>
            </w:r>
          </w:p>
        </w:tc>
        <w:tc>
          <w:tcPr>
            <w:tcW w:w="1870" w:type="dxa"/>
          </w:tcPr>
          <w:p w14:paraId="4C5F222A" w14:textId="00BC7703" w:rsidR="00773374" w:rsidRPr="00773374" w:rsidRDefault="00773374" w:rsidP="00773374">
            <w:r w:rsidRPr="00773374">
              <w:t>89</w:t>
            </w:r>
          </w:p>
        </w:tc>
        <w:tc>
          <w:tcPr>
            <w:tcW w:w="1870" w:type="dxa"/>
          </w:tcPr>
          <w:p w14:paraId="78AE7E92" w14:textId="592E57F9" w:rsidR="00773374" w:rsidRPr="00773374" w:rsidRDefault="00773374" w:rsidP="00773374">
            <w:r w:rsidRPr="00773374">
              <w:t>87.2%</w:t>
            </w:r>
          </w:p>
        </w:tc>
      </w:tr>
      <w:tr w:rsidR="00773374" w:rsidRPr="00773374" w14:paraId="0F7870C7" w14:textId="77777777" w:rsidTr="00773374">
        <w:tc>
          <w:tcPr>
            <w:tcW w:w="1870" w:type="dxa"/>
          </w:tcPr>
          <w:p w14:paraId="04E76A23" w14:textId="1A8B3911" w:rsidR="00773374" w:rsidRPr="00773374" w:rsidRDefault="00773374" w:rsidP="00773374">
            <w:r w:rsidRPr="00773374">
              <w:t>Specialty Insurance</w:t>
            </w:r>
          </w:p>
        </w:tc>
        <w:tc>
          <w:tcPr>
            <w:tcW w:w="1870" w:type="dxa"/>
          </w:tcPr>
          <w:p w14:paraId="3CDF8473" w14:textId="6A19128C" w:rsidR="00773374" w:rsidRPr="00773374" w:rsidRDefault="00773374" w:rsidP="00773374">
            <w:r w:rsidRPr="00773374">
              <w:t>LATAM</w:t>
            </w:r>
          </w:p>
        </w:tc>
        <w:tc>
          <w:tcPr>
            <w:tcW w:w="1870" w:type="dxa"/>
          </w:tcPr>
          <w:p w14:paraId="65E91168" w14:textId="5EE968BD" w:rsidR="00773374" w:rsidRPr="00773374" w:rsidRDefault="00773374" w:rsidP="00773374">
            <w:r w:rsidRPr="00773374">
              <w:t>123</w:t>
            </w:r>
          </w:p>
        </w:tc>
        <w:tc>
          <w:tcPr>
            <w:tcW w:w="1870" w:type="dxa"/>
          </w:tcPr>
          <w:p w14:paraId="394DB69F" w14:textId="3B63F95F" w:rsidR="00773374" w:rsidRPr="00773374" w:rsidRDefault="00773374" w:rsidP="00773374">
            <w:r w:rsidRPr="00773374">
              <w:t>23</w:t>
            </w:r>
          </w:p>
        </w:tc>
        <w:tc>
          <w:tcPr>
            <w:tcW w:w="1870" w:type="dxa"/>
          </w:tcPr>
          <w:p w14:paraId="7563C48E" w14:textId="05627BC5" w:rsidR="00773374" w:rsidRPr="00773374" w:rsidRDefault="00773374" w:rsidP="00773374">
            <w:r w:rsidRPr="00773374">
              <w:t>88.3%</w:t>
            </w:r>
          </w:p>
        </w:tc>
      </w:tr>
      <w:tr w:rsidR="00773374" w:rsidRPr="00773374" w14:paraId="11F6BB73"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0EFD2138" w14:textId="4181EAFE" w:rsidR="00773374" w:rsidRPr="00773374" w:rsidRDefault="00773374" w:rsidP="00773374">
            <w:r w:rsidRPr="00773374">
              <w:t>Investments</w:t>
            </w:r>
          </w:p>
        </w:tc>
        <w:tc>
          <w:tcPr>
            <w:tcW w:w="1870" w:type="dxa"/>
          </w:tcPr>
          <w:p w14:paraId="1FF00C5B" w14:textId="3020DF4D" w:rsidR="00773374" w:rsidRPr="00773374" w:rsidRDefault="00773374" w:rsidP="00773374">
            <w:r w:rsidRPr="00773374">
              <w:t>APAC</w:t>
            </w:r>
          </w:p>
        </w:tc>
        <w:tc>
          <w:tcPr>
            <w:tcW w:w="1870" w:type="dxa"/>
          </w:tcPr>
          <w:p w14:paraId="5716BC93" w14:textId="78235C52" w:rsidR="00773374" w:rsidRPr="00773374" w:rsidRDefault="00773374" w:rsidP="00773374">
            <w:r w:rsidRPr="00773374">
              <w:t>567</w:t>
            </w:r>
          </w:p>
        </w:tc>
        <w:tc>
          <w:tcPr>
            <w:tcW w:w="1870" w:type="dxa"/>
          </w:tcPr>
          <w:p w14:paraId="1E4D321D" w14:textId="7F999D56" w:rsidR="00773374" w:rsidRPr="00773374" w:rsidRDefault="00773374" w:rsidP="00773374">
            <w:r w:rsidRPr="00773374">
              <w:t>67</w:t>
            </w:r>
          </w:p>
        </w:tc>
        <w:tc>
          <w:tcPr>
            <w:tcW w:w="1870" w:type="dxa"/>
          </w:tcPr>
          <w:p w14:paraId="12884CCB" w14:textId="4335EDA5" w:rsidR="00773374" w:rsidRPr="00773374" w:rsidRDefault="00773374" w:rsidP="00773374">
            <w:r w:rsidRPr="00773374">
              <w:t>N/A</w:t>
            </w:r>
          </w:p>
        </w:tc>
      </w:tr>
      <w:tr w:rsidR="00773374" w:rsidRPr="00773374" w14:paraId="741F5D11" w14:textId="77777777" w:rsidTr="00773374">
        <w:tc>
          <w:tcPr>
            <w:tcW w:w="1870" w:type="dxa"/>
          </w:tcPr>
          <w:p w14:paraId="42366A47" w14:textId="72424A23" w:rsidR="00773374" w:rsidRPr="00773374" w:rsidRDefault="00773374" w:rsidP="00773374">
            <w:r w:rsidRPr="00773374">
              <w:t>Investments</w:t>
            </w:r>
          </w:p>
        </w:tc>
        <w:tc>
          <w:tcPr>
            <w:tcW w:w="1870" w:type="dxa"/>
          </w:tcPr>
          <w:p w14:paraId="3C980793" w14:textId="74230F62" w:rsidR="00773374" w:rsidRPr="00773374" w:rsidRDefault="00773374" w:rsidP="00773374">
            <w:r w:rsidRPr="00773374">
              <w:t>EMEA</w:t>
            </w:r>
          </w:p>
        </w:tc>
        <w:tc>
          <w:tcPr>
            <w:tcW w:w="1870" w:type="dxa"/>
          </w:tcPr>
          <w:p w14:paraId="2F676DD1" w14:textId="00120762" w:rsidR="00773374" w:rsidRPr="00773374" w:rsidRDefault="00773374" w:rsidP="00773374">
            <w:r w:rsidRPr="00773374">
              <w:t>678</w:t>
            </w:r>
          </w:p>
        </w:tc>
        <w:tc>
          <w:tcPr>
            <w:tcW w:w="1870" w:type="dxa"/>
          </w:tcPr>
          <w:p w14:paraId="2DECB57B" w14:textId="4EB1F9EA" w:rsidR="00773374" w:rsidRPr="00773374" w:rsidRDefault="00773374" w:rsidP="00773374">
            <w:r w:rsidRPr="00773374">
              <w:t>78</w:t>
            </w:r>
          </w:p>
        </w:tc>
        <w:tc>
          <w:tcPr>
            <w:tcW w:w="1870" w:type="dxa"/>
          </w:tcPr>
          <w:p w14:paraId="6CFAFF41" w14:textId="1CCD7282" w:rsidR="00773374" w:rsidRPr="00773374" w:rsidRDefault="00773374" w:rsidP="00773374">
            <w:r w:rsidRPr="00773374">
              <w:t>N/A</w:t>
            </w:r>
          </w:p>
        </w:tc>
      </w:tr>
      <w:tr w:rsidR="00773374" w:rsidRPr="00773374" w14:paraId="3297628C"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5E7A0E35" w14:textId="74AC5AB1" w:rsidR="00773374" w:rsidRPr="00773374" w:rsidRDefault="00773374" w:rsidP="00773374">
            <w:r w:rsidRPr="00773374">
              <w:t>Investments</w:t>
            </w:r>
          </w:p>
        </w:tc>
        <w:tc>
          <w:tcPr>
            <w:tcW w:w="1870" w:type="dxa"/>
          </w:tcPr>
          <w:p w14:paraId="0B7FED89" w14:textId="13201D3B" w:rsidR="00773374" w:rsidRPr="00773374" w:rsidRDefault="00773374" w:rsidP="00773374">
            <w:r w:rsidRPr="00773374">
              <w:t>NA</w:t>
            </w:r>
          </w:p>
        </w:tc>
        <w:tc>
          <w:tcPr>
            <w:tcW w:w="1870" w:type="dxa"/>
          </w:tcPr>
          <w:p w14:paraId="45C851EC" w14:textId="520E2DAF" w:rsidR="00773374" w:rsidRPr="00773374" w:rsidRDefault="00773374" w:rsidP="00773374">
            <w:r w:rsidRPr="00773374">
              <w:t>1,234</w:t>
            </w:r>
          </w:p>
        </w:tc>
        <w:tc>
          <w:tcPr>
            <w:tcW w:w="1870" w:type="dxa"/>
          </w:tcPr>
          <w:p w14:paraId="30FBAA92" w14:textId="04FB76D5" w:rsidR="00773374" w:rsidRPr="00773374" w:rsidRDefault="00773374" w:rsidP="00773374">
            <w:r w:rsidRPr="00773374">
              <w:t>134</w:t>
            </w:r>
          </w:p>
        </w:tc>
        <w:tc>
          <w:tcPr>
            <w:tcW w:w="1870" w:type="dxa"/>
          </w:tcPr>
          <w:p w14:paraId="41CB62BA" w14:textId="3E0A7E34" w:rsidR="00773374" w:rsidRPr="00773374" w:rsidRDefault="00773374" w:rsidP="00773374">
            <w:r w:rsidRPr="00773374">
              <w:t>N/A</w:t>
            </w:r>
          </w:p>
        </w:tc>
      </w:tr>
      <w:tr w:rsidR="00773374" w:rsidRPr="00773374" w14:paraId="28282A28" w14:textId="77777777" w:rsidTr="00773374">
        <w:tc>
          <w:tcPr>
            <w:tcW w:w="1870" w:type="dxa"/>
          </w:tcPr>
          <w:p w14:paraId="610ABE18" w14:textId="27E611C1" w:rsidR="00773374" w:rsidRPr="00773374" w:rsidRDefault="00773374" w:rsidP="00773374">
            <w:r w:rsidRPr="00773374">
              <w:t>Investments</w:t>
            </w:r>
          </w:p>
        </w:tc>
        <w:tc>
          <w:tcPr>
            <w:tcW w:w="1870" w:type="dxa"/>
          </w:tcPr>
          <w:p w14:paraId="742B98A0" w14:textId="4043EF0E" w:rsidR="00773374" w:rsidRPr="00773374" w:rsidRDefault="00773374" w:rsidP="00773374">
            <w:r w:rsidRPr="00773374">
              <w:t>LATAM</w:t>
            </w:r>
          </w:p>
        </w:tc>
        <w:tc>
          <w:tcPr>
            <w:tcW w:w="1870" w:type="dxa"/>
          </w:tcPr>
          <w:p w14:paraId="478B2045" w14:textId="0936D30B" w:rsidR="00773374" w:rsidRPr="00773374" w:rsidRDefault="00773374" w:rsidP="00773374">
            <w:r w:rsidRPr="00773374">
              <w:t>234</w:t>
            </w:r>
          </w:p>
        </w:tc>
        <w:tc>
          <w:tcPr>
            <w:tcW w:w="1870" w:type="dxa"/>
          </w:tcPr>
          <w:p w14:paraId="3F61D181" w14:textId="174AF024" w:rsidR="00773374" w:rsidRPr="00773374" w:rsidRDefault="00773374" w:rsidP="00773374">
            <w:r w:rsidRPr="00773374">
              <w:t>34</w:t>
            </w:r>
          </w:p>
        </w:tc>
        <w:tc>
          <w:tcPr>
            <w:tcW w:w="1870" w:type="dxa"/>
          </w:tcPr>
          <w:p w14:paraId="26AF24EC" w14:textId="30EB4FD3" w:rsidR="00773374" w:rsidRPr="00773374" w:rsidRDefault="00773374" w:rsidP="00773374">
            <w:r w:rsidRPr="00773374">
              <w:t>N/A</w:t>
            </w:r>
          </w:p>
        </w:tc>
      </w:tr>
      <w:tr w:rsidR="00773374" w:rsidRPr="00773374" w14:paraId="1B82FABD"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472C686B" w14:textId="0AD9E554" w:rsidR="00773374" w:rsidRPr="00773374" w:rsidRDefault="00773374" w:rsidP="00773374">
            <w:r w:rsidRPr="00773374">
              <w:t>Life Insurance</w:t>
            </w:r>
          </w:p>
        </w:tc>
        <w:tc>
          <w:tcPr>
            <w:tcW w:w="1870" w:type="dxa"/>
          </w:tcPr>
          <w:p w14:paraId="0DAE9A28" w14:textId="643F71A0" w:rsidR="00773374" w:rsidRPr="00773374" w:rsidRDefault="00773374" w:rsidP="00773374">
            <w:r w:rsidRPr="00773374">
              <w:t>APAC</w:t>
            </w:r>
          </w:p>
        </w:tc>
        <w:tc>
          <w:tcPr>
            <w:tcW w:w="1870" w:type="dxa"/>
          </w:tcPr>
          <w:p w14:paraId="7E5C965E" w14:textId="70F6E41C" w:rsidR="00773374" w:rsidRPr="00773374" w:rsidRDefault="00773374" w:rsidP="00773374">
            <w:r w:rsidRPr="00773374">
              <w:t>456</w:t>
            </w:r>
          </w:p>
        </w:tc>
        <w:tc>
          <w:tcPr>
            <w:tcW w:w="1870" w:type="dxa"/>
          </w:tcPr>
          <w:p w14:paraId="410189F0" w14:textId="4A99EFF8" w:rsidR="00773374" w:rsidRPr="00773374" w:rsidRDefault="00773374" w:rsidP="00773374">
            <w:r w:rsidRPr="00773374">
              <w:t>56</w:t>
            </w:r>
          </w:p>
        </w:tc>
        <w:tc>
          <w:tcPr>
            <w:tcW w:w="1870" w:type="dxa"/>
          </w:tcPr>
          <w:p w14:paraId="73158457" w14:textId="0E97E938" w:rsidR="00773374" w:rsidRPr="00773374" w:rsidRDefault="00773374" w:rsidP="00773374">
            <w:r w:rsidRPr="00773374">
              <w:t>N/A</w:t>
            </w:r>
          </w:p>
        </w:tc>
      </w:tr>
      <w:tr w:rsidR="00773374" w:rsidRPr="00773374" w14:paraId="463E9E89" w14:textId="77777777" w:rsidTr="00773374">
        <w:tc>
          <w:tcPr>
            <w:tcW w:w="1870" w:type="dxa"/>
          </w:tcPr>
          <w:p w14:paraId="53EBF8BD" w14:textId="6B54BCD1" w:rsidR="00773374" w:rsidRPr="00773374" w:rsidRDefault="00773374" w:rsidP="00773374">
            <w:r w:rsidRPr="00773374">
              <w:t>Life Insurance</w:t>
            </w:r>
          </w:p>
        </w:tc>
        <w:tc>
          <w:tcPr>
            <w:tcW w:w="1870" w:type="dxa"/>
          </w:tcPr>
          <w:p w14:paraId="1EB2404E" w14:textId="2CDC8FF8" w:rsidR="00773374" w:rsidRPr="00773374" w:rsidRDefault="00773374" w:rsidP="00773374">
            <w:r w:rsidRPr="00773374">
              <w:t>EMEA</w:t>
            </w:r>
          </w:p>
        </w:tc>
        <w:tc>
          <w:tcPr>
            <w:tcW w:w="1870" w:type="dxa"/>
          </w:tcPr>
          <w:p w14:paraId="3759BB6A" w14:textId="248BE241" w:rsidR="00773374" w:rsidRPr="00773374" w:rsidRDefault="00773374" w:rsidP="00773374">
            <w:r w:rsidRPr="00773374">
              <w:t>567</w:t>
            </w:r>
          </w:p>
        </w:tc>
        <w:tc>
          <w:tcPr>
            <w:tcW w:w="1870" w:type="dxa"/>
          </w:tcPr>
          <w:p w14:paraId="0877AB80" w14:textId="2573A431" w:rsidR="00773374" w:rsidRPr="00773374" w:rsidRDefault="00773374" w:rsidP="00773374">
            <w:r w:rsidRPr="00773374">
              <w:t>67</w:t>
            </w:r>
          </w:p>
        </w:tc>
        <w:tc>
          <w:tcPr>
            <w:tcW w:w="1870" w:type="dxa"/>
          </w:tcPr>
          <w:p w14:paraId="71FB06BE" w14:textId="606EB7B4" w:rsidR="00773374" w:rsidRPr="00773374" w:rsidRDefault="00773374" w:rsidP="00773374">
            <w:r w:rsidRPr="00773374">
              <w:t>N/A</w:t>
            </w:r>
          </w:p>
        </w:tc>
      </w:tr>
      <w:tr w:rsidR="00773374" w:rsidRPr="00773374" w14:paraId="586C6889" w14:textId="77777777" w:rsidTr="00773374">
        <w:trPr>
          <w:cnfStyle w:val="000000100000" w:firstRow="0" w:lastRow="0" w:firstColumn="0" w:lastColumn="0" w:oddVBand="0" w:evenVBand="0" w:oddHBand="1" w:evenHBand="0" w:firstRowFirstColumn="0" w:firstRowLastColumn="0" w:lastRowFirstColumn="0" w:lastRowLastColumn="0"/>
        </w:trPr>
        <w:tc>
          <w:tcPr>
            <w:tcW w:w="1870" w:type="dxa"/>
          </w:tcPr>
          <w:p w14:paraId="266A4A93" w14:textId="51F3281C" w:rsidR="00773374" w:rsidRPr="00773374" w:rsidRDefault="00773374" w:rsidP="00773374">
            <w:r w:rsidRPr="00773374">
              <w:t>Life Insurance</w:t>
            </w:r>
          </w:p>
        </w:tc>
        <w:tc>
          <w:tcPr>
            <w:tcW w:w="1870" w:type="dxa"/>
          </w:tcPr>
          <w:p w14:paraId="56BBAC2A" w14:textId="785699ED" w:rsidR="00773374" w:rsidRPr="00773374" w:rsidRDefault="00773374" w:rsidP="00773374">
            <w:r w:rsidRPr="00773374">
              <w:t>NA</w:t>
            </w:r>
          </w:p>
        </w:tc>
        <w:tc>
          <w:tcPr>
            <w:tcW w:w="1870" w:type="dxa"/>
          </w:tcPr>
          <w:p w14:paraId="78C89B06" w14:textId="2D5C1E8C" w:rsidR="00773374" w:rsidRPr="00773374" w:rsidRDefault="00773374" w:rsidP="00773374">
            <w:r w:rsidRPr="00773374">
              <w:t>789</w:t>
            </w:r>
          </w:p>
        </w:tc>
        <w:tc>
          <w:tcPr>
            <w:tcW w:w="1870" w:type="dxa"/>
          </w:tcPr>
          <w:p w14:paraId="42F0383B" w14:textId="420CA7AB" w:rsidR="00773374" w:rsidRPr="00773374" w:rsidRDefault="00773374" w:rsidP="00773374">
            <w:r w:rsidRPr="00773374">
              <w:t>89</w:t>
            </w:r>
          </w:p>
        </w:tc>
        <w:tc>
          <w:tcPr>
            <w:tcW w:w="1870" w:type="dxa"/>
          </w:tcPr>
          <w:p w14:paraId="14A9FD70" w14:textId="7A89178B" w:rsidR="00773374" w:rsidRPr="00773374" w:rsidRDefault="00773374" w:rsidP="00773374">
            <w:r w:rsidRPr="00773374">
              <w:t>N/A</w:t>
            </w:r>
          </w:p>
        </w:tc>
      </w:tr>
      <w:tr w:rsidR="00773374" w:rsidRPr="00773374" w14:paraId="4C69653A" w14:textId="77777777" w:rsidTr="00773374">
        <w:tc>
          <w:tcPr>
            <w:tcW w:w="1870" w:type="dxa"/>
          </w:tcPr>
          <w:p w14:paraId="0DDD8048" w14:textId="025D4787" w:rsidR="00773374" w:rsidRPr="00773374" w:rsidRDefault="00773374" w:rsidP="00773374">
            <w:r w:rsidRPr="00773374">
              <w:t>Life Insurance</w:t>
            </w:r>
          </w:p>
        </w:tc>
        <w:tc>
          <w:tcPr>
            <w:tcW w:w="1870" w:type="dxa"/>
          </w:tcPr>
          <w:p w14:paraId="058EF8FE" w14:textId="4F8DC5A8" w:rsidR="00773374" w:rsidRPr="00773374" w:rsidRDefault="00773374" w:rsidP="00773374">
            <w:r w:rsidRPr="00773374">
              <w:t>LATAM</w:t>
            </w:r>
          </w:p>
        </w:tc>
        <w:tc>
          <w:tcPr>
            <w:tcW w:w="1870" w:type="dxa"/>
          </w:tcPr>
          <w:p w14:paraId="58F2C98A" w14:textId="0CE4A00B" w:rsidR="00773374" w:rsidRPr="00773374" w:rsidRDefault="00773374" w:rsidP="00773374">
            <w:r w:rsidRPr="00773374">
              <w:t>123</w:t>
            </w:r>
          </w:p>
        </w:tc>
        <w:tc>
          <w:tcPr>
            <w:tcW w:w="1870" w:type="dxa"/>
          </w:tcPr>
          <w:p w14:paraId="752AA5D8" w14:textId="39DC8097" w:rsidR="00773374" w:rsidRPr="00773374" w:rsidRDefault="00773374" w:rsidP="00773374">
            <w:r w:rsidRPr="00773374">
              <w:t>23</w:t>
            </w:r>
          </w:p>
        </w:tc>
        <w:tc>
          <w:tcPr>
            <w:tcW w:w="1870" w:type="dxa"/>
          </w:tcPr>
          <w:p w14:paraId="00295332" w14:textId="5B3DFC57" w:rsidR="00773374" w:rsidRPr="00773374" w:rsidRDefault="00773374" w:rsidP="00773374">
            <w:r w:rsidRPr="00773374">
              <w:t>N/A</w:t>
            </w:r>
          </w:p>
        </w:tc>
      </w:tr>
    </w:tbl>
    <w:p w14:paraId="2218419F" w14:textId="77777777" w:rsidR="003B11E6" w:rsidRDefault="003B11E6" w:rsidP="003B11E6">
      <w:pPr>
        <w:pStyle w:val="Heading2"/>
      </w:pPr>
    </w:p>
    <w:p w14:paraId="10C8DA30" w14:textId="74A166E1" w:rsidR="003B11E6" w:rsidRDefault="003B11E6" w:rsidP="003B11E6">
      <w:pPr>
        <w:pStyle w:val="Heading2"/>
      </w:pPr>
      <w:r>
        <w:rPr>
          <w:noProof/>
        </w:rPr>
        <w:drawing>
          <wp:inline distT="0" distB="0" distL="0" distR="0" wp14:anchorId="6EF4B2E8" wp14:editId="581B751D">
            <wp:extent cx="4572000" cy="2746375"/>
            <wp:effectExtent l="0" t="0" r="0" b="15875"/>
            <wp:docPr id="1720547058" name="Chart 1">
              <a:extLst xmlns:a="http://schemas.openxmlformats.org/drawingml/2006/main">
                <a:ext uri="{FF2B5EF4-FFF2-40B4-BE49-F238E27FC236}">
                  <a16:creationId xmlns:a16="http://schemas.microsoft.com/office/drawing/2014/main" id="{15DB5995-BBE8-FFC3-C0C5-6F623870D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D51BEF" w14:textId="77777777" w:rsidR="00631F9B" w:rsidRDefault="00631F9B" w:rsidP="003B11E6"/>
    <w:p w14:paraId="39B969D1" w14:textId="6B6E1E44" w:rsidR="00631F9B" w:rsidRDefault="00A114CB" w:rsidP="00A114CB">
      <w:pPr>
        <w:pStyle w:val="Heading1"/>
      </w:pPr>
      <w:r>
        <w:t>Summary</w:t>
      </w:r>
    </w:p>
    <w:p w14:paraId="2D3D9170" w14:textId="495D5147" w:rsidR="003B11E6" w:rsidRDefault="003B11E6" w:rsidP="003B11E6">
      <w:r w:rsidRPr="003B11E6">
        <w:t>The graph shows the net income and combined ratio for each region. The net income is represented by the blue bars and the combined ratio is represented by the orange line. The net income measures the profitability of the insurance company after deducting all expenses and taxes. The combined ratio measures the ratio of claims and expenses to premiums earned. A combined ratio below 100% indicates that the company is making an underwriting profit, while a ratio above 100% indicates a loss.</w:t>
      </w:r>
    </w:p>
    <w:p w14:paraId="33A14178" w14:textId="20F334CE" w:rsidR="003B11E6" w:rsidRDefault="003B11E6" w:rsidP="003B11E6">
      <w:r w:rsidRPr="003B11E6">
        <w:t xml:space="preserve">The graph shows that North America has the highest net income and the lowest combined ratio, followed by Europe and Asia. Africa, Latin </w:t>
      </w:r>
      <w:proofErr w:type="gramStart"/>
      <w:r w:rsidRPr="003B11E6">
        <w:t>America</w:t>
      </w:r>
      <w:proofErr w:type="gramEnd"/>
      <w:r w:rsidRPr="003B11E6">
        <w:t xml:space="preserve"> and Oceania have lower net income and higher </w:t>
      </w:r>
      <w:r w:rsidRPr="003B11E6">
        <w:lastRenderedPageBreak/>
        <w:t>combined ratio. This suggests that the insurance market in these regions is less profitable and more competitive. The company may need to adjust its pricing and risk management strategies to improve its performance in these regions.</w:t>
      </w:r>
    </w:p>
    <w:p w14:paraId="6A783236" w14:textId="77777777" w:rsidR="00AD767D" w:rsidRDefault="00AD767D" w:rsidP="00AD767D">
      <w:pPr>
        <w:pStyle w:val="Heading1"/>
      </w:pPr>
      <w:r>
        <w:t>Conclusion</w:t>
      </w:r>
    </w:p>
    <w:p w14:paraId="5FA258E9" w14:textId="77777777" w:rsidR="009C6173" w:rsidRDefault="009C6173" w:rsidP="009C6173">
      <w:r w:rsidRPr="009C6173">
        <w:t>One possible output is:</w:t>
      </w:r>
    </w:p>
    <w:p w14:paraId="308B48E4" w14:textId="4F71E671" w:rsidR="00AD767D" w:rsidRPr="009C6173" w:rsidRDefault="009C6173" w:rsidP="009C6173">
      <w:r w:rsidRPr="009C6173">
        <w:t xml:space="preserve">To sum up, the graph reveals significant regional differences in the net income and combined ratio of the insurance company. The company is most profitable and efficient in North America and Europe, while it faces challenges and losses in Africa, Latin </w:t>
      </w:r>
      <w:proofErr w:type="gramStart"/>
      <w:r w:rsidRPr="009C6173">
        <w:t>America</w:t>
      </w:r>
      <w:proofErr w:type="gramEnd"/>
      <w:r w:rsidRPr="009C6173">
        <w:t xml:space="preserve"> and Oceania. The company should analyze the factors that contribute to these disparities and devise appropriate strategies to enhance its profitability and competitiveness across all regions.</w:t>
      </w:r>
    </w:p>
    <w:sectPr w:rsidR="00AD767D" w:rsidRPr="009C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06"/>
    <w:rsid w:val="00011766"/>
    <w:rsid w:val="00015DB4"/>
    <w:rsid w:val="001311DE"/>
    <w:rsid w:val="002A71E3"/>
    <w:rsid w:val="003B11E6"/>
    <w:rsid w:val="004E653B"/>
    <w:rsid w:val="00631F9B"/>
    <w:rsid w:val="00650B06"/>
    <w:rsid w:val="00773374"/>
    <w:rsid w:val="009C6173"/>
    <w:rsid w:val="009F47E2"/>
    <w:rsid w:val="00A114CB"/>
    <w:rsid w:val="00A82F09"/>
    <w:rsid w:val="00AD767D"/>
    <w:rsid w:val="00AE045D"/>
    <w:rsid w:val="00BC2278"/>
    <w:rsid w:val="00E13178"/>
    <w:rsid w:val="00F220E7"/>
    <w:rsid w:val="00F606FB"/>
    <w:rsid w:val="00F70EB2"/>
    <w:rsid w:val="00F9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7540"/>
  <w15:chartTrackingRefBased/>
  <w15:docId w15:val="{E32E3FEE-FDAC-49AF-950F-668C3A16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0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0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B06"/>
    <w:rPr>
      <w:rFonts w:eastAsiaTheme="majorEastAsia" w:cstheme="majorBidi"/>
      <w:color w:val="272727" w:themeColor="text1" w:themeTint="D8"/>
    </w:rPr>
  </w:style>
  <w:style w:type="paragraph" w:styleId="Title">
    <w:name w:val="Title"/>
    <w:basedOn w:val="Normal"/>
    <w:next w:val="Normal"/>
    <w:link w:val="TitleChar"/>
    <w:uiPriority w:val="10"/>
    <w:qFormat/>
    <w:rsid w:val="00650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B06"/>
    <w:pPr>
      <w:spacing w:before="160"/>
      <w:jc w:val="center"/>
    </w:pPr>
    <w:rPr>
      <w:i/>
      <w:iCs/>
      <w:color w:val="404040" w:themeColor="text1" w:themeTint="BF"/>
    </w:rPr>
  </w:style>
  <w:style w:type="character" w:customStyle="1" w:styleId="QuoteChar">
    <w:name w:val="Quote Char"/>
    <w:basedOn w:val="DefaultParagraphFont"/>
    <w:link w:val="Quote"/>
    <w:uiPriority w:val="29"/>
    <w:rsid w:val="00650B06"/>
    <w:rPr>
      <w:i/>
      <w:iCs/>
      <w:color w:val="404040" w:themeColor="text1" w:themeTint="BF"/>
    </w:rPr>
  </w:style>
  <w:style w:type="paragraph" w:styleId="ListParagraph">
    <w:name w:val="List Paragraph"/>
    <w:basedOn w:val="Normal"/>
    <w:uiPriority w:val="34"/>
    <w:qFormat/>
    <w:rsid w:val="00650B06"/>
    <w:pPr>
      <w:ind w:left="720"/>
      <w:contextualSpacing/>
    </w:pPr>
  </w:style>
  <w:style w:type="character" w:styleId="IntenseEmphasis">
    <w:name w:val="Intense Emphasis"/>
    <w:basedOn w:val="DefaultParagraphFont"/>
    <w:uiPriority w:val="21"/>
    <w:qFormat/>
    <w:rsid w:val="00650B06"/>
    <w:rPr>
      <w:i/>
      <w:iCs/>
      <w:color w:val="0F4761" w:themeColor="accent1" w:themeShade="BF"/>
    </w:rPr>
  </w:style>
  <w:style w:type="paragraph" w:styleId="IntenseQuote">
    <w:name w:val="Intense Quote"/>
    <w:basedOn w:val="Normal"/>
    <w:next w:val="Normal"/>
    <w:link w:val="IntenseQuoteChar"/>
    <w:uiPriority w:val="30"/>
    <w:qFormat/>
    <w:rsid w:val="00650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B06"/>
    <w:rPr>
      <w:i/>
      <w:iCs/>
      <w:color w:val="0F4761" w:themeColor="accent1" w:themeShade="BF"/>
    </w:rPr>
  </w:style>
  <w:style w:type="character" w:styleId="IntenseReference">
    <w:name w:val="Intense Reference"/>
    <w:basedOn w:val="DefaultParagraphFont"/>
    <w:uiPriority w:val="32"/>
    <w:qFormat/>
    <w:rsid w:val="00650B06"/>
    <w:rPr>
      <w:b/>
      <w:bCs/>
      <w:smallCaps/>
      <w:color w:val="0F4761" w:themeColor="accent1" w:themeShade="BF"/>
      <w:spacing w:val="5"/>
    </w:rPr>
  </w:style>
  <w:style w:type="table" w:styleId="TableGrid">
    <w:name w:val="Table Grid"/>
    <w:basedOn w:val="TableNormal"/>
    <w:uiPriority w:val="39"/>
    <w:rsid w:val="0065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0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Net Income (in million USD)</c:v>
                </c:pt>
              </c:strCache>
            </c:strRef>
          </c:tx>
          <c:spPr>
            <a:solidFill>
              <a:schemeClr val="accent1"/>
            </a:solidFill>
            <a:ln>
              <a:noFill/>
            </a:ln>
            <a:effectLst/>
          </c:spPr>
          <c:invertIfNegative val="0"/>
          <c:cat>
            <c:strRef>
              <c:f>Sheet1!$A$5:$A$10</c:f>
              <c:strCache>
                <c:ptCount val="6"/>
                <c:pt idx="0">
                  <c:v>North America</c:v>
                </c:pt>
                <c:pt idx="1">
                  <c:v>Europe</c:v>
                </c:pt>
                <c:pt idx="2">
                  <c:v>Asia</c:v>
                </c:pt>
                <c:pt idx="3">
                  <c:v>Africa</c:v>
                </c:pt>
                <c:pt idx="4">
                  <c:v>Latin America</c:v>
                </c:pt>
                <c:pt idx="5">
                  <c:v>Oceania</c:v>
                </c:pt>
              </c:strCache>
            </c:strRef>
          </c:cat>
          <c:val>
            <c:numRef>
              <c:f>Sheet1!$B$5:$B$10</c:f>
              <c:numCache>
                <c:formatCode>General</c:formatCode>
                <c:ptCount val="6"/>
                <c:pt idx="0">
                  <c:v>123</c:v>
                </c:pt>
                <c:pt idx="1">
                  <c:v>87</c:v>
                </c:pt>
                <c:pt idx="2">
                  <c:v>76</c:v>
                </c:pt>
                <c:pt idx="3">
                  <c:v>65</c:v>
                </c:pt>
                <c:pt idx="4">
                  <c:v>54</c:v>
                </c:pt>
                <c:pt idx="5">
                  <c:v>43</c:v>
                </c:pt>
              </c:numCache>
            </c:numRef>
          </c:val>
          <c:extLst>
            <c:ext xmlns:c16="http://schemas.microsoft.com/office/drawing/2014/chart" uri="{C3380CC4-5D6E-409C-BE32-E72D297353CC}">
              <c16:uniqueId val="{00000000-4852-4354-A422-B87734EC0A01}"/>
            </c:ext>
          </c:extLst>
        </c:ser>
        <c:ser>
          <c:idx val="1"/>
          <c:order val="1"/>
          <c:tx>
            <c:strRef>
              <c:f>Sheet1!$C$4</c:f>
              <c:strCache>
                <c:ptCount val="1"/>
                <c:pt idx="0">
                  <c:v>Combined Ratio (%)</c:v>
                </c:pt>
              </c:strCache>
            </c:strRef>
          </c:tx>
          <c:spPr>
            <a:solidFill>
              <a:schemeClr val="accent2"/>
            </a:solidFill>
            <a:ln>
              <a:noFill/>
            </a:ln>
            <a:effectLst/>
          </c:spPr>
          <c:invertIfNegative val="0"/>
          <c:cat>
            <c:strRef>
              <c:f>Sheet1!$A$5:$A$10</c:f>
              <c:strCache>
                <c:ptCount val="6"/>
                <c:pt idx="0">
                  <c:v>North America</c:v>
                </c:pt>
                <c:pt idx="1">
                  <c:v>Europe</c:v>
                </c:pt>
                <c:pt idx="2">
                  <c:v>Asia</c:v>
                </c:pt>
                <c:pt idx="3">
                  <c:v>Africa</c:v>
                </c:pt>
                <c:pt idx="4">
                  <c:v>Latin America</c:v>
                </c:pt>
                <c:pt idx="5">
                  <c:v>Oceania</c:v>
                </c:pt>
              </c:strCache>
            </c:strRef>
          </c:cat>
          <c:val>
            <c:numRef>
              <c:f>Sheet1!$C$5:$C$10</c:f>
              <c:numCache>
                <c:formatCode>General</c:formatCode>
                <c:ptCount val="6"/>
                <c:pt idx="0">
                  <c:v>23</c:v>
                </c:pt>
                <c:pt idx="1">
                  <c:v>25</c:v>
                </c:pt>
                <c:pt idx="2">
                  <c:v>27</c:v>
                </c:pt>
                <c:pt idx="3">
                  <c:v>29</c:v>
                </c:pt>
                <c:pt idx="4">
                  <c:v>31</c:v>
                </c:pt>
                <c:pt idx="5">
                  <c:v>33</c:v>
                </c:pt>
              </c:numCache>
            </c:numRef>
          </c:val>
          <c:extLst>
            <c:ext xmlns:c16="http://schemas.microsoft.com/office/drawing/2014/chart" uri="{C3380CC4-5D6E-409C-BE32-E72D297353CC}">
              <c16:uniqueId val="{00000001-4852-4354-A422-B87734EC0A01}"/>
            </c:ext>
          </c:extLst>
        </c:ser>
        <c:dLbls>
          <c:showLegendKey val="0"/>
          <c:showVal val="0"/>
          <c:showCatName val="0"/>
          <c:showSerName val="0"/>
          <c:showPercent val="0"/>
          <c:showBubbleSize val="0"/>
        </c:dLbls>
        <c:gapWidth val="219"/>
        <c:overlap val="-27"/>
        <c:axId val="357617344"/>
        <c:axId val="357619264"/>
      </c:barChart>
      <c:catAx>
        <c:axId val="35761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19264"/>
        <c:crosses val="autoZero"/>
        <c:auto val="1"/>
        <c:lblAlgn val="ctr"/>
        <c:lblOffset val="100"/>
        <c:noMultiLvlLbl val="0"/>
      </c:catAx>
      <c:valAx>
        <c:axId val="35761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1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41</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Barari (TR)</dc:creator>
  <cp:keywords/>
  <dc:description/>
  <cp:lastModifiedBy>Tirthankar Barari (TR)</cp:lastModifiedBy>
  <cp:revision>14</cp:revision>
  <dcterms:created xsi:type="dcterms:W3CDTF">2024-03-18T16:20:00Z</dcterms:created>
  <dcterms:modified xsi:type="dcterms:W3CDTF">2024-03-18T17:55:00Z</dcterms:modified>
</cp:coreProperties>
</file>