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76252" w14:textId="16A0A1BE" w:rsidR="00584545" w:rsidRPr="00584545" w:rsidRDefault="00584545" w:rsidP="00584545">
      <w:pPr>
        <w:spacing w:before="720" w:after="720" w:line="240" w:lineRule="auto"/>
        <w:rPr>
          <w:rFonts w:ascii="Times New Roman" w:eastAsia="Times New Roman" w:hAnsi="Times New Roman" w:cs="Times New Roman"/>
          <w:sz w:val="24"/>
          <w:szCs w:val="24"/>
        </w:rPr>
      </w:pPr>
      <w:r w:rsidRPr="00C2259A">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13B8F0E" wp14:editId="14EBF031">
                <wp:simplePos x="0" y="0"/>
                <wp:positionH relativeFrom="margin">
                  <wp:posOffset>651510</wp:posOffset>
                </wp:positionH>
                <wp:positionV relativeFrom="paragraph">
                  <wp:posOffset>342900</wp:posOffset>
                </wp:positionV>
                <wp:extent cx="4810125" cy="1404620"/>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chemeClr val="bg1"/>
                          </a:solidFill>
                          <a:miter lim="800000"/>
                          <a:headEnd/>
                          <a:tailEnd/>
                        </a:ln>
                      </wps:spPr>
                      <wps:txbx>
                        <w:txbxContent>
                          <w:p w14:paraId="7700509C" w14:textId="77777777" w:rsidR="00584545" w:rsidRDefault="00584545" w:rsidP="00584545">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6221634F" w14:textId="77777777" w:rsidR="00584545" w:rsidRPr="00B02AB8" w:rsidRDefault="00584545" w:rsidP="00584545">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3B8F0E" id="_x0000_t202" coordsize="21600,21600" o:spt="202" path="m,l,21600r21600,l21600,xe">
                <v:stroke joinstyle="miter"/>
                <v:path gradientshapeok="t" o:connecttype="rect"/>
              </v:shapetype>
              <v:shape id="Text Box 2" o:spid="_x0000_s1026" type="#_x0000_t202" style="position:absolute;margin-left:51.3pt;margin-top:27pt;width:37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" strokecolor="white [3212]">
                <v:textbox style="mso-fit-shape-to-text:t">
                  <w:txbxContent>
                    <w:p w14:paraId="7700509C" w14:textId="77777777" w:rsidR="00584545" w:rsidRDefault="00584545" w:rsidP="00584545">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6221634F" w14:textId="77777777" w:rsidR="00584545" w:rsidRPr="00B02AB8" w:rsidRDefault="00584545" w:rsidP="00584545">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v:textbox>
                <w10:wrap type="square" anchorx="margin"/>
              </v:shape>
            </w:pict>
          </mc:Fallback>
        </mc:AlternateContent>
      </w:r>
      <w:r w:rsidRPr="00EB3626">
        <w:rPr>
          <w:rFonts w:ascii="Times New Roman" w:eastAsia="Times New Roman" w:hAnsi="Times New Roman" w:cs="Times New Roman"/>
          <w:noProof/>
          <w:sz w:val="24"/>
          <w:szCs w:val="24"/>
        </w:rPr>
        <w:drawing>
          <wp:inline distT="0" distB="0" distL="0" distR="0" wp14:anchorId="3A6A550D" wp14:editId="1C4DB7FB">
            <wp:extent cx="524510" cy="704809"/>
            <wp:effectExtent l="0" t="0" r="8890" b="635"/>
            <wp:docPr id="1694255231" name="Picture 1" descr="A car with an umbrella on the 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5231" name="Picture 1" descr="A car with an umbrella on the hood&#10;&#10;Description automatically generated"/>
                    <pic:cNvPicPr/>
                  </pic:nvPicPr>
                  <pic:blipFill>
                    <a:blip r:embed="rId4"/>
                    <a:stretch>
                      <a:fillRect/>
                    </a:stretch>
                  </pic:blipFill>
                  <pic:spPr>
                    <a:xfrm>
                      <a:off x="0" y="0"/>
                      <a:ext cx="582447" cy="782662"/>
                    </a:xfrm>
                    <a:prstGeom prst="rect">
                      <a:avLst/>
                    </a:prstGeom>
                  </pic:spPr>
                </pic:pic>
              </a:graphicData>
            </a:graphic>
          </wp:inline>
        </w:drawing>
      </w:r>
    </w:p>
    <w:p w14:paraId="53FA1013" w14:textId="40640598" w:rsidR="00844DCF" w:rsidRDefault="00844DCF" w:rsidP="00584545">
      <w:pPr>
        <w:pStyle w:val="Title"/>
        <w:jc w:val="center"/>
      </w:pPr>
      <w:r>
        <w:t>Annual Financial Report 2019</w:t>
      </w:r>
    </w:p>
    <w:p w14:paraId="65386E0B" w14:textId="77777777" w:rsidR="00844DCF" w:rsidRDefault="00844DCF" w:rsidP="00844DCF">
      <w:pPr>
        <w:pStyle w:val="Heading1"/>
      </w:pPr>
      <w:r>
        <w:t>Introduction</w:t>
      </w:r>
    </w:p>
    <w:p w14:paraId="5B85315E" w14:textId="77777777" w:rsidR="00844DCF" w:rsidRDefault="00844DCF" w:rsidP="00844DCF">
      <w:r w:rsidRPr="00844DCF">
        <w:t xml:space="preserve">TR Insurance is a leading provider of property and casualty insurance, offering a wide range of products and services to individuals and businesses across the world. TR Insurance operates in four regions: Asia-Pacific (APAC), Europe, Middle </w:t>
      </w:r>
      <w:proofErr w:type="gramStart"/>
      <w:r w:rsidRPr="00844DCF">
        <w:t>East</w:t>
      </w:r>
      <w:proofErr w:type="gramEnd"/>
      <w:r w:rsidRPr="00844DCF">
        <w:t xml:space="preserve"> and Africa (EMEA), North America (NA), and Latin America (LATAM).</w:t>
      </w:r>
    </w:p>
    <w:p w14:paraId="50AC63BD" w14:textId="77777777" w:rsidR="00844DCF" w:rsidRDefault="00844DCF" w:rsidP="00844DCF">
      <w:r w:rsidRPr="00844DCF">
        <w:t xml:space="preserve">This document presents the financial performance of TR Insurance for the year 2019, based on the data for the previous year 2018. The document provides detailed financial </w:t>
      </w:r>
      <w:proofErr w:type="gramStart"/>
      <w:r w:rsidRPr="00844DCF">
        <w:t>numbers</w:t>
      </w:r>
      <w:proofErr w:type="gramEnd"/>
      <w:r w:rsidRPr="00844DCF">
        <w:t xml:space="preserve"> for the different lines of business (Auto, Home, Small Business, Specialty Insurance, Investments, and Life Insurance) by the regions. The document also summarizes the key achievements, challenges, and opportunities for TR Insurance in 2019.</w:t>
      </w:r>
    </w:p>
    <w:p w14:paraId="72807E78" w14:textId="77777777" w:rsidR="00844DCF" w:rsidRDefault="00844DCF" w:rsidP="00844DCF">
      <w:pPr>
        <w:pStyle w:val="Heading1"/>
      </w:pPr>
      <w:r>
        <w:t>Financial Performance</w:t>
      </w:r>
    </w:p>
    <w:p w14:paraId="5F50BE20" w14:textId="77777777" w:rsidR="00844DCF" w:rsidRDefault="00844DCF" w:rsidP="00844DCF">
      <w:r w:rsidRPr="00844DCF">
        <w:t>The table below shows the net written premiums, net income, and combined ratio for each line of business and region for the year 2019, based on the data for the previous year 2018.</w:t>
      </w:r>
    </w:p>
    <w:tbl>
      <w:tblPr>
        <w:tblStyle w:val="PlainTable1"/>
        <w:tblW w:w="0" w:type="auto"/>
        <w:tblLook w:val="0420" w:firstRow="1" w:lastRow="0" w:firstColumn="0" w:lastColumn="0" w:noHBand="0" w:noVBand="1"/>
      </w:tblPr>
      <w:tblGrid>
        <w:gridCol w:w="1870"/>
        <w:gridCol w:w="1870"/>
        <w:gridCol w:w="1870"/>
        <w:gridCol w:w="1870"/>
        <w:gridCol w:w="1870"/>
      </w:tblGrid>
      <w:tr w:rsidR="00844DCF" w:rsidRPr="00844DCF" w14:paraId="605E2A77" w14:textId="77777777" w:rsidTr="00844DCF">
        <w:trPr>
          <w:cnfStyle w:val="100000000000" w:firstRow="1" w:lastRow="0" w:firstColumn="0" w:lastColumn="0" w:oddVBand="0" w:evenVBand="0" w:oddHBand="0" w:evenHBand="0" w:firstRowFirstColumn="0" w:firstRowLastColumn="0" w:lastRowFirstColumn="0" w:lastRowLastColumn="0"/>
        </w:trPr>
        <w:tc>
          <w:tcPr>
            <w:tcW w:w="1870" w:type="dxa"/>
          </w:tcPr>
          <w:p w14:paraId="14E11BA3" w14:textId="17901111" w:rsidR="00844DCF" w:rsidRPr="00844DCF" w:rsidRDefault="00844DCF" w:rsidP="00844DCF">
            <w:r w:rsidRPr="00844DCF">
              <w:t>Line of Business</w:t>
            </w:r>
          </w:p>
        </w:tc>
        <w:tc>
          <w:tcPr>
            <w:tcW w:w="1870" w:type="dxa"/>
          </w:tcPr>
          <w:p w14:paraId="1AEE0B91" w14:textId="0CEB79FE" w:rsidR="00844DCF" w:rsidRPr="00844DCF" w:rsidRDefault="00844DCF" w:rsidP="00844DCF">
            <w:r w:rsidRPr="00844DCF">
              <w:t>Region</w:t>
            </w:r>
          </w:p>
        </w:tc>
        <w:tc>
          <w:tcPr>
            <w:tcW w:w="1870" w:type="dxa"/>
          </w:tcPr>
          <w:p w14:paraId="393E7ADD" w14:textId="40B3BD52" w:rsidR="00844DCF" w:rsidRPr="00844DCF" w:rsidRDefault="00844DCF" w:rsidP="00844DCF">
            <w:r w:rsidRPr="00844DCF">
              <w:t>Net Written Premiums</w:t>
            </w:r>
          </w:p>
        </w:tc>
        <w:tc>
          <w:tcPr>
            <w:tcW w:w="1870" w:type="dxa"/>
          </w:tcPr>
          <w:p w14:paraId="2CFC4B2D" w14:textId="4A72C788" w:rsidR="00844DCF" w:rsidRPr="00844DCF" w:rsidRDefault="00844DCF" w:rsidP="00844DCF">
            <w:r w:rsidRPr="00844DCF">
              <w:t>Net Income</w:t>
            </w:r>
          </w:p>
        </w:tc>
        <w:tc>
          <w:tcPr>
            <w:tcW w:w="1870" w:type="dxa"/>
          </w:tcPr>
          <w:p w14:paraId="65DCBD7C" w14:textId="305D96F5" w:rsidR="00844DCF" w:rsidRPr="00844DCF" w:rsidRDefault="00844DCF" w:rsidP="00844DCF">
            <w:r w:rsidRPr="00844DCF">
              <w:t>Combined Ratio</w:t>
            </w:r>
          </w:p>
        </w:tc>
      </w:tr>
      <w:tr w:rsidR="00844DCF" w:rsidRPr="00844DCF" w14:paraId="28F8D71E"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6CD286AF" w14:textId="6D616A25" w:rsidR="00844DCF" w:rsidRPr="00844DCF" w:rsidRDefault="00844DCF" w:rsidP="00844DCF">
            <w:r w:rsidRPr="00844DCF">
              <w:t>Auto</w:t>
            </w:r>
          </w:p>
        </w:tc>
        <w:tc>
          <w:tcPr>
            <w:tcW w:w="1870" w:type="dxa"/>
          </w:tcPr>
          <w:p w14:paraId="6385D604" w14:textId="4D31FBE3" w:rsidR="00844DCF" w:rsidRPr="00844DCF" w:rsidRDefault="00844DCF" w:rsidP="00844DCF">
            <w:r w:rsidRPr="00844DCF">
              <w:t>APAC</w:t>
            </w:r>
          </w:p>
        </w:tc>
        <w:tc>
          <w:tcPr>
            <w:tcW w:w="1870" w:type="dxa"/>
          </w:tcPr>
          <w:p w14:paraId="20704DC4" w14:textId="1199036B" w:rsidR="00844DCF" w:rsidRPr="00844DCF" w:rsidRDefault="00844DCF" w:rsidP="00844DCF">
            <w:r w:rsidRPr="00844DCF">
              <w:t>1,301</w:t>
            </w:r>
          </w:p>
        </w:tc>
        <w:tc>
          <w:tcPr>
            <w:tcW w:w="1870" w:type="dxa"/>
          </w:tcPr>
          <w:p w14:paraId="0F642AC7" w14:textId="3624CC14" w:rsidR="00844DCF" w:rsidRPr="00844DCF" w:rsidRDefault="00844DCF" w:rsidP="00844DCF">
            <w:r w:rsidRPr="00844DCF">
              <w:t>246</w:t>
            </w:r>
          </w:p>
        </w:tc>
        <w:tc>
          <w:tcPr>
            <w:tcW w:w="1870" w:type="dxa"/>
          </w:tcPr>
          <w:p w14:paraId="10C9CE37" w14:textId="3CB5FB8D" w:rsidR="00844DCF" w:rsidRPr="00844DCF" w:rsidRDefault="00844DCF" w:rsidP="00844DCF">
            <w:r w:rsidRPr="00844DCF">
              <w:t>88.0%</w:t>
            </w:r>
          </w:p>
        </w:tc>
      </w:tr>
      <w:tr w:rsidR="00844DCF" w:rsidRPr="00844DCF" w14:paraId="78BE6C14" w14:textId="77777777" w:rsidTr="00844DCF">
        <w:tc>
          <w:tcPr>
            <w:tcW w:w="1870" w:type="dxa"/>
          </w:tcPr>
          <w:p w14:paraId="333A5E59" w14:textId="3C4540A3" w:rsidR="00844DCF" w:rsidRPr="00844DCF" w:rsidRDefault="00844DCF" w:rsidP="00844DCF">
            <w:r w:rsidRPr="00844DCF">
              <w:t>Auto</w:t>
            </w:r>
          </w:p>
        </w:tc>
        <w:tc>
          <w:tcPr>
            <w:tcW w:w="1870" w:type="dxa"/>
          </w:tcPr>
          <w:p w14:paraId="61424709" w14:textId="47CD9358" w:rsidR="00844DCF" w:rsidRPr="00844DCF" w:rsidRDefault="00844DCF" w:rsidP="00844DCF">
            <w:r w:rsidRPr="00844DCF">
              <w:t>EMEA</w:t>
            </w:r>
          </w:p>
        </w:tc>
        <w:tc>
          <w:tcPr>
            <w:tcW w:w="1870" w:type="dxa"/>
          </w:tcPr>
          <w:p w14:paraId="46AC01C8" w14:textId="349A608D" w:rsidR="00844DCF" w:rsidRPr="00844DCF" w:rsidRDefault="00844DCF" w:rsidP="00844DCF">
            <w:r w:rsidRPr="00844DCF">
              <w:t>1,530</w:t>
            </w:r>
          </w:p>
        </w:tc>
        <w:tc>
          <w:tcPr>
            <w:tcW w:w="1870" w:type="dxa"/>
          </w:tcPr>
          <w:p w14:paraId="4FCD2382" w14:textId="2176C2F0" w:rsidR="00844DCF" w:rsidRPr="00844DCF" w:rsidRDefault="00844DCF" w:rsidP="00844DCF">
            <w:r w:rsidRPr="00844DCF">
              <w:t>269</w:t>
            </w:r>
          </w:p>
        </w:tc>
        <w:tc>
          <w:tcPr>
            <w:tcW w:w="1870" w:type="dxa"/>
          </w:tcPr>
          <w:p w14:paraId="0BD80181" w14:textId="64213020" w:rsidR="00844DCF" w:rsidRPr="00844DCF" w:rsidRDefault="00844DCF" w:rsidP="00844DCF">
            <w:r w:rsidRPr="00844DCF">
              <w:t>89.2%</w:t>
            </w:r>
          </w:p>
        </w:tc>
      </w:tr>
      <w:tr w:rsidR="00844DCF" w:rsidRPr="00844DCF" w14:paraId="205C2139"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6DA52388" w14:textId="09734C32" w:rsidR="00844DCF" w:rsidRPr="00844DCF" w:rsidRDefault="00844DCF" w:rsidP="00844DCF">
            <w:r w:rsidRPr="00844DCF">
              <w:t>Auto</w:t>
            </w:r>
          </w:p>
        </w:tc>
        <w:tc>
          <w:tcPr>
            <w:tcW w:w="1870" w:type="dxa"/>
          </w:tcPr>
          <w:p w14:paraId="73511ADB" w14:textId="273ECE64" w:rsidR="00844DCF" w:rsidRPr="00844DCF" w:rsidRDefault="00844DCF" w:rsidP="00844DCF">
            <w:r w:rsidRPr="00844DCF">
              <w:t>NA</w:t>
            </w:r>
          </w:p>
        </w:tc>
        <w:tc>
          <w:tcPr>
            <w:tcW w:w="1870" w:type="dxa"/>
          </w:tcPr>
          <w:p w14:paraId="0980268B" w14:textId="2F809CF5" w:rsidR="00844DCF" w:rsidRPr="00844DCF" w:rsidRDefault="00844DCF" w:rsidP="00844DCF">
            <w:r w:rsidRPr="00844DCF">
              <w:t>2,463</w:t>
            </w:r>
          </w:p>
        </w:tc>
        <w:tc>
          <w:tcPr>
            <w:tcW w:w="1870" w:type="dxa"/>
          </w:tcPr>
          <w:p w14:paraId="14535407" w14:textId="7412398B" w:rsidR="00844DCF" w:rsidRPr="00844DCF" w:rsidRDefault="00844DCF" w:rsidP="00844DCF">
            <w:r w:rsidRPr="00844DCF">
              <w:t>363</w:t>
            </w:r>
          </w:p>
        </w:tc>
        <w:tc>
          <w:tcPr>
            <w:tcW w:w="1870" w:type="dxa"/>
          </w:tcPr>
          <w:p w14:paraId="5BCB467D" w14:textId="7A3681D4" w:rsidR="00844DCF" w:rsidRPr="00844DCF" w:rsidRDefault="00844DCF" w:rsidP="00844DCF">
            <w:r w:rsidRPr="00844DCF">
              <w:t>89.7%</w:t>
            </w:r>
          </w:p>
        </w:tc>
      </w:tr>
      <w:tr w:rsidR="00844DCF" w:rsidRPr="00844DCF" w14:paraId="032F7565" w14:textId="77777777" w:rsidTr="00844DCF">
        <w:tc>
          <w:tcPr>
            <w:tcW w:w="1870" w:type="dxa"/>
          </w:tcPr>
          <w:p w14:paraId="3BD55B34" w14:textId="4EB76481" w:rsidR="00844DCF" w:rsidRPr="00844DCF" w:rsidRDefault="00844DCF" w:rsidP="00844DCF">
            <w:r w:rsidRPr="00844DCF">
              <w:t>Auto</w:t>
            </w:r>
          </w:p>
        </w:tc>
        <w:tc>
          <w:tcPr>
            <w:tcW w:w="1870" w:type="dxa"/>
          </w:tcPr>
          <w:p w14:paraId="03189E28" w14:textId="6C978746" w:rsidR="00844DCF" w:rsidRPr="00844DCF" w:rsidRDefault="00844DCF" w:rsidP="00844DCF">
            <w:r w:rsidRPr="00844DCF">
              <w:t>LATAM</w:t>
            </w:r>
          </w:p>
        </w:tc>
        <w:tc>
          <w:tcPr>
            <w:tcW w:w="1870" w:type="dxa"/>
          </w:tcPr>
          <w:p w14:paraId="627803D9" w14:textId="0C2D742E" w:rsidR="00844DCF" w:rsidRPr="00844DCF" w:rsidRDefault="00844DCF" w:rsidP="00844DCF">
            <w:r w:rsidRPr="00844DCF">
              <w:t>596</w:t>
            </w:r>
          </w:p>
        </w:tc>
        <w:tc>
          <w:tcPr>
            <w:tcW w:w="1870" w:type="dxa"/>
          </w:tcPr>
          <w:p w14:paraId="31389931" w14:textId="46CEC3FB" w:rsidR="00844DCF" w:rsidRPr="00844DCF" w:rsidRDefault="00844DCF" w:rsidP="00844DCF">
            <w:r w:rsidRPr="00844DCF">
              <w:t>70</w:t>
            </w:r>
          </w:p>
        </w:tc>
        <w:tc>
          <w:tcPr>
            <w:tcW w:w="1870" w:type="dxa"/>
          </w:tcPr>
          <w:p w14:paraId="6359B2DB" w14:textId="054141AA" w:rsidR="00844DCF" w:rsidRPr="00844DCF" w:rsidRDefault="00844DCF" w:rsidP="00844DCF">
            <w:r w:rsidRPr="00844DCF">
              <w:t>91.3%</w:t>
            </w:r>
          </w:p>
        </w:tc>
      </w:tr>
      <w:tr w:rsidR="00844DCF" w:rsidRPr="00844DCF" w14:paraId="31B8E984"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379F0E15" w14:textId="1DE347EB" w:rsidR="00844DCF" w:rsidRPr="00844DCF" w:rsidRDefault="00844DCF" w:rsidP="00844DCF">
            <w:r w:rsidRPr="00844DCF">
              <w:t>Home</w:t>
            </w:r>
          </w:p>
        </w:tc>
        <w:tc>
          <w:tcPr>
            <w:tcW w:w="1870" w:type="dxa"/>
          </w:tcPr>
          <w:p w14:paraId="6BEC1DC8" w14:textId="334AC97B" w:rsidR="00844DCF" w:rsidRPr="00844DCF" w:rsidRDefault="00844DCF" w:rsidP="00844DCF">
            <w:r w:rsidRPr="00844DCF">
              <w:t>APAC</w:t>
            </w:r>
          </w:p>
        </w:tc>
        <w:tc>
          <w:tcPr>
            <w:tcW w:w="1870" w:type="dxa"/>
          </w:tcPr>
          <w:p w14:paraId="5C3F7FE9" w14:textId="5720359F" w:rsidR="00844DCF" w:rsidRPr="00844DCF" w:rsidRDefault="00844DCF" w:rsidP="00844DCF">
            <w:r w:rsidRPr="00844DCF">
              <w:t>830</w:t>
            </w:r>
          </w:p>
        </w:tc>
        <w:tc>
          <w:tcPr>
            <w:tcW w:w="1870" w:type="dxa"/>
          </w:tcPr>
          <w:p w14:paraId="0B1AEA09" w14:textId="09B5E89C" w:rsidR="00844DCF" w:rsidRPr="00844DCF" w:rsidRDefault="00844DCF" w:rsidP="00844DCF">
            <w:r w:rsidRPr="00844DCF">
              <w:t>94</w:t>
            </w:r>
          </w:p>
        </w:tc>
        <w:tc>
          <w:tcPr>
            <w:tcW w:w="1870" w:type="dxa"/>
          </w:tcPr>
          <w:p w14:paraId="22910D53" w14:textId="22A965F7" w:rsidR="00844DCF" w:rsidRPr="00844DCF" w:rsidRDefault="00844DCF" w:rsidP="00844DCF">
            <w:r w:rsidRPr="00844DCF">
              <w:t>86.9%</w:t>
            </w:r>
          </w:p>
        </w:tc>
      </w:tr>
      <w:tr w:rsidR="00844DCF" w:rsidRPr="00844DCF" w14:paraId="781CE71D" w14:textId="77777777" w:rsidTr="00844DCF">
        <w:tc>
          <w:tcPr>
            <w:tcW w:w="1870" w:type="dxa"/>
          </w:tcPr>
          <w:p w14:paraId="4AD44E78" w14:textId="07DB2EC3" w:rsidR="00844DCF" w:rsidRPr="00844DCF" w:rsidRDefault="00844DCF" w:rsidP="00844DCF">
            <w:r w:rsidRPr="00844DCF">
              <w:t>Home</w:t>
            </w:r>
          </w:p>
        </w:tc>
        <w:tc>
          <w:tcPr>
            <w:tcW w:w="1870" w:type="dxa"/>
          </w:tcPr>
          <w:p w14:paraId="4DD3267D" w14:textId="7E9D9F9D" w:rsidR="00844DCF" w:rsidRPr="00844DCF" w:rsidRDefault="00844DCF" w:rsidP="00844DCF">
            <w:r w:rsidRPr="00844DCF">
              <w:t>EMEA</w:t>
            </w:r>
          </w:p>
        </w:tc>
        <w:tc>
          <w:tcPr>
            <w:tcW w:w="1870" w:type="dxa"/>
          </w:tcPr>
          <w:p w14:paraId="38785B88" w14:textId="000153C2" w:rsidR="00844DCF" w:rsidRPr="00844DCF" w:rsidRDefault="00844DCF" w:rsidP="00844DCF">
            <w:r w:rsidRPr="00844DCF">
              <w:t>947</w:t>
            </w:r>
          </w:p>
        </w:tc>
        <w:tc>
          <w:tcPr>
            <w:tcW w:w="1870" w:type="dxa"/>
          </w:tcPr>
          <w:p w14:paraId="7C5C4D3D" w14:textId="4DF6E78F" w:rsidR="00844DCF" w:rsidRPr="00844DCF" w:rsidRDefault="00844DCF" w:rsidP="00844DCF">
            <w:r w:rsidRPr="00844DCF">
              <w:t>106</w:t>
            </w:r>
          </w:p>
        </w:tc>
        <w:tc>
          <w:tcPr>
            <w:tcW w:w="1870" w:type="dxa"/>
          </w:tcPr>
          <w:p w14:paraId="7C0C1F62" w14:textId="141E27A1" w:rsidR="00844DCF" w:rsidRPr="00844DCF" w:rsidRDefault="00844DCF" w:rsidP="00844DCF">
            <w:r w:rsidRPr="00844DCF">
              <w:t>88.1%</w:t>
            </w:r>
          </w:p>
        </w:tc>
      </w:tr>
      <w:tr w:rsidR="00844DCF" w:rsidRPr="00844DCF" w14:paraId="05AF3E15"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3B12D79D" w14:textId="2EED55AA" w:rsidR="00844DCF" w:rsidRPr="00844DCF" w:rsidRDefault="00844DCF" w:rsidP="00844DCF">
            <w:r w:rsidRPr="00844DCF">
              <w:t>Home</w:t>
            </w:r>
          </w:p>
        </w:tc>
        <w:tc>
          <w:tcPr>
            <w:tcW w:w="1870" w:type="dxa"/>
          </w:tcPr>
          <w:p w14:paraId="5CE6646C" w14:textId="61FC30C6" w:rsidR="00844DCF" w:rsidRPr="00844DCF" w:rsidRDefault="00844DCF" w:rsidP="00844DCF">
            <w:r w:rsidRPr="00844DCF">
              <w:t>NA</w:t>
            </w:r>
          </w:p>
        </w:tc>
        <w:tc>
          <w:tcPr>
            <w:tcW w:w="1870" w:type="dxa"/>
          </w:tcPr>
          <w:p w14:paraId="0DA75A87" w14:textId="22E809DA" w:rsidR="00844DCF" w:rsidRPr="00844DCF" w:rsidRDefault="00844DCF" w:rsidP="00844DCF">
            <w:r w:rsidRPr="00844DCF">
              <w:t>1,762</w:t>
            </w:r>
          </w:p>
        </w:tc>
        <w:tc>
          <w:tcPr>
            <w:tcW w:w="1870" w:type="dxa"/>
          </w:tcPr>
          <w:p w14:paraId="6848B7F8" w14:textId="3ACEB594" w:rsidR="00844DCF" w:rsidRPr="00844DCF" w:rsidRDefault="00844DCF" w:rsidP="00844DCF">
            <w:r w:rsidRPr="00844DCF">
              <w:t>187</w:t>
            </w:r>
          </w:p>
        </w:tc>
        <w:tc>
          <w:tcPr>
            <w:tcW w:w="1870" w:type="dxa"/>
          </w:tcPr>
          <w:p w14:paraId="48C69782" w14:textId="2718D040" w:rsidR="00844DCF" w:rsidRPr="00844DCF" w:rsidRDefault="00844DCF" w:rsidP="00844DCF">
            <w:r w:rsidRPr="00844DCF">
              <w:t>88.8%</w:t>
            </w:r>
          </w:p>
        </w:tc>
      </w:tr>
      <w:tr w:rsidR="00844DCF" w:rsidRPr="00844DCF" w14:paraId="697CE93C" w14:textId="77777777" w:rsidTr="00844DCF">
        <w:tc>
          <w:tcPr>
            <w:tcW w:w="1870" w:type="dxa"/>
          </w:tcPr>
          <w:p w14:paraId="23A24C77" w14:textId="780C84F3" w:rsidR="00844DCF" w:rsidRPr="00844DCF" w:rsidRDefault="00844DCF" w:rsidP="00844DCF">
            <w:r w:rsidRPr="00844DCF">
              <w:t>Home</w:t>
            </w:r>
          </w:p>
        </w:tc>
        <w:tc>
          <w:tcPr>
            <w:tcW w:w="1870" w:type="dxa"/>
          </w:tcPr>
          <w:p w14:paraId="245C47C6" w14:textId="13555C89" w:rsidR="00844DCF" w:rsidRPr="00844DCF" w:rsidRDefault="00844DCF" w:rsidP="00844DCF">
            <w:r w:rsidRPr="00844DCF">
              <w:t>LATAM</w:t>
            </w:r>
          </w:p>
        </w:tc>
        <w:tc>
          <w:tcPr>
            <w:tcW w:w="1870" w:type="dxa"/>
          </w:tcPr>
          <w:p w14:paraId="033A48E8" w14:textId="4CCBA9CB" w:rsidR="00844DCF" w:rsidRPr="00844DCF" w:rsidRDefault="00844DCF" w:rsidP="00844DCF">
            <w:r w:rsidRPr="00844DCF">
              <w:t>363</w:t>
            </w:r>
          </w:p>
        </w:tc>
        <w:tc>
          <w:tcPr>
            <w:tcW w:w="1870" w:type="dxa"/>
          </w:tcPr>
          <w:p w14:paraId="6E0B94D1" w14:textId="3C3DA929" w:rsidR="00844DCF" w:rsidRPr="00844DCF" w:rsidRDefault="00844DCF" w:rsidP="00844DCF">
            <w:r w:rsidRPr="00844DCF">
              <w:t>47</w:t>
            </w:r>
          </w:p>
        </w:tc>
        <w:tc>
          <w:tcPr>
            <w:tcW w:w="1870" w:type="dxa"/>
          </w:tcPr>
          <w:p w14:paraId="4D58FA08" w14:textId="248F70A0" w:rsidR="00844DCF" w:rsidRPr="00844DCF" w:rsidRDefault="00844DCF" w:rsidP="00844DCF">
            <w:r w:rsidRPr="00844DCF">
              <w:t>90.0%</w:t>
            </w:r>
          </w:p>
        </w:tc>
      </w:tr>
      <w:tr w:rsidR="00844DCF" w:rsidRPr="00844DCF" w14:paraId="71B16F7E"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611D7421" w14:textId="3F0F2E9B" w:rsidR="00844DCF" w:rsidRPr="00844DCF" w:rsidRDefault="00844DCF" w:rsidP="00844DCF">
            <w:r w:rsidRPr="00844DCF">
              <w:t>Small Business</w:t>
            </w:r>
          </w:p>
        </w:tc>
        <w:tc>
          <w:tcPr>
            <w:tcW w:w="1870" w:type="dxa"/>
          </w:tcPr>
          <w:p w14:paraId="41FCFB24" w14:textId="447BD7A2" w:rsidR="00844DCF" w:rsidRPr="00844DCF" w:rsidRDefault="00844DCF" w:rsidP="00844DCF">
            <w:r w:rsidRPr="00844DCF">
              <w:t>APAC</w:t>
            </w:r>
          </w:p>
        </w:tc>
        <w:tc>
          <w:tcPr>
            <w:tcW w:w="1870" w:type="dxa"/>
          </w:tcPr>
          <w:p w14:paraId="213B7629" w14:textId="5E0C4E32" w:rsidR="00844DCF" w:rsidRPr="00844DCF" w:rsidRDefault="00844DCF" w:rsidP="00844DCF">
            <w:r w:rsidRPr="00844DCF">
              <w:t>480</w:t>
            </w:r>
          </w:p>
        </w:tc>
        <w:tc>
          <w:tcPr>
            <w:tcW w:w="1870" w:type="dxa"/>
          </w:tcPr>
          <w:p w14:paraId="0130D3D2" w14:textId="1920C708" w:rsidR="00844DCF" w:rsidRPr="00844DCF" w:rsidRDefault="00844DCF" w:rsidP="00844DCF">
            <w:r w:rsidRPr="00844DCF">
              <w:t>59</w:t>
            </w:r>
          </w:p>
        </w:tc>
        <w:tc>
          <w:tcPr>
            <w:tcW w:w="1870" w:type="dxa"/>
          </w:tcPr>
          <w:p w14:paraId="493AD95C" w14:textId="198042D8" w:rsidR="00844DCF" w:rsidRPr="00844DCF" w:rsidRDefault="00844DCF" w:rsidP="00844DCF">
            <w:r w:rsidRPr="00844DCF">
              <w:t>86.2%</w:t>
            </w:r>
          </w:p>
        </w:tc>
      </w:tr>
      <w:tr w:rsidR="00844DCF" w:rsidRPr="00844DCF" w14:paraId="220A7131" w14:textId="77777777" w:rsidTr="00844DCF">
        <w:tc>
          <w:tcPr>
            <w:tcW w:w="1870" w:type="dxa"/>
          </w:tcPr>
          <w:p w14:paraId="38BD71CC" w14:textId="05A51BA7" w:rsidR="00844DCF" w:rsidRPr="00844DCF" w:rsidRDefault="00844DCF" w:rsidP="00844DCF">
            <w:r w:rsidRPr="00844DCF">
              <w:t>Small Business</w:t>
            </w:r>
          </w:p>
        </w:tc>
        <w:tc>
          <w:tcPr>
            <w:tcW w:w="1870" w:type="dxa"/>
          </w:tcPr>
          <w:p w14:paraId="56C38383" w14:textId="2A2287A6" w:rsidR="00844DCF" w:rsidRPr="00844DCF" w:rsidRDefault="00844DCF" w:rsidP="00844DCF">
            <w:r w:rsidRPr="00844DCF">
              <w:t>EMEA</w:t>
            </w:r>
          </w:p>
        </w:tc>
        <w:tc>
          <w:tcPr>
            <w:tcW w:w="1870" w:type="dxa"/>
          </w:tcPr>
          <w:p w14:paraId="259921B7" w14:textId="09BAA4B4" w:rsidR="00844DCF" w:rsidRPr="00844DCF" w:rsidRDefault="00844DCF" w:rsidP="00844DCF">
            <w:r w:rsidRPr="00844DCF">
              <w:t>596</w:t>
            </w:r>
          </w:p>
        </w:tc>
        <w:tc>
          <w:tcPr>
            <w:tcW w:w="1870" w:type="dxa"/>
          </w:tcPr>
          <w:p w14:paraId="7EAF3D3F" w14:textId="584D461C" w:rsidR="00844DCF" w:rsidRPr="00844DCF" w:rsidRDefault="00844DCF" w:rsidP="00844DCF">
            <w:r w:rsidRPr="00844DCF">
              <w:t>70</w:t>
            </w:r>
          </w:p>
        </w:tc>
        <w:tc>
          <w:tcPr>
            <w:tcW w:w="1870" w:type="dxa"/>
          </w:tcPr>
          <w:p w14:paraId="23CD9CF0" w14:textId="27878D45" w:rsidR="00844DCF" w:rsidRPr="00844DCF" w:rsidRDefault="00844DCF" w:rsidP="00844DCF">
            <w:r w:rsidRPr="00844DCF">
              <w:t>87.4%</w:t>
            </w:r>
          </w:p>
        </w:tc>
      </w:tr>
      <w:tr w:rsidR="00844DCF" w:rsidRPr="00844DCF" w14:paraId="1051111D"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00D376D9" w14:textId="110A4F7E" w:rsidR="00844DCF" w:rsidRPr="00844DCF" w:rsidRDefault="00844DCF" w:rsidP="00844DCF">
            <w:r w:rsidRPr="00844DCF">
              <w:t>Small Business</w:t>
            </w:r>
          </w:p>
        </w:tc>
        <w:tc>
          <w:tcPr>
            <w:tcW w:w="1870" w:type="dxa"/>
          </w:tcPr>
          <w:p w14:paraId="4B83115D" w14:textId="539852F7" w:rsidR="00844DCF" w:rsidRPr="00844DCF" w:rsidRDefault="00844DCF" w:rsidP="00844DCF">
            <w:r w:rsidRPr="00844DCF">
              <w:t>NA</w:t>
            </w:r>
          </w:p>
        </w:tc>
        <w:tc>
          <w:tcPr>
            <w:tcW w:w="1870" w:type="dxa"/>
          </w:tcPr>
          <w:p w14:paraId="7E3DEEE7" w14:textId="15B39E6E" w:rsidR="00844DCF" w:rsidRPr="00844DCF" w:rsidRDefault="00844DCF" w:rsidP="00844DCF">
            <w:r w:rsidRPr="00844DCF">
              <w:t>1,296</w:t>
            </w:r>
          </w:p>
        </w:tc>
        <w:tc>
          <w:tcPr>
            <w:tcW w:w="1870" w:type="dxa"/>
          </w:tcPr>
          <w:p w14:paraId="29032295" w14:textId="26D1AD7E" w:rsidR="00844DCF" w:rsidRPr="00844DCF" w:rsidRDefault="00844DCF" w:rsidP="00844DCF">
            <w:r w:rsidRPr="00844DCF">
              <w:t>141</w:t>
            </w:r>
          </w:p>
        </w:tc>
        <w:tc>
          <w:tcPr>
            <w:tcW w:w="1870" w:type="dxa"/>
          </w:tcPr>
          <w:p w14:paraId="785281F8" w14:textId="54F971D8" w:rsidR="00844DCF" w:rsidRPr="00844DCF" w:rsidRDefault="00844DCF" w:rsidP="00844DCF">
            <w:r w:rsidRPr="00844DCF">
              <w:t>87.9%</w:t>
            </w:r>
          </w:p>
        </w:tc>
      </w:tr>
      <w:tr w:rsidR="00844DCF" w:rsidRPr="00844DCF" w14:paraId="16119425" w14:textId="77777777" w:rsidTr="00844DCF">
        <w:tc>
          <w:tcPr>
            <w:tcW w:w="1870" w:type="dxa"/>
          </w:tcPr>
          <w:p w14:paraId="7F2BAB66" w14:textId="3B6D11FA" w:rsidR="00844DCF" w:rsidRPr="00844DCF" w:rsidRDefault="00844DCF" w:rsidP="00844DCF">
            <w:r w:rsidRPr="00844DCF">
              <w:t>Small Business</w:t>
            </w:r>
          </w:p>
        </w:tc>
        <w:tc>
          <w:tcPr>
            <w:tcW w:w="1870" w:type="dxa"/>
          </w:tcPr>
          <w:p w14:paraId="495B6AF4" w14:textId="6257890C" w:rsidR="00844DCF" w:rsidRPr="00844DCF" w:rsidRDefault="00844DCF" w:rsidP="00844DCF">
            <w:r w:rsidRPr="00844DCF">
              <w:t>LATAM</w:t>
            </w:r>
          </w:p>
        </w:tc>
        <w:tc>
          <w:tcPr>
            <w:tcW w:w="1870" w:type="dxa"/>
          </w:tcPr>
          <w:p w14:paraId="5322F911" w14:textId="53317A68" w:rsidR="00844DCF" w:rsidRPr="00844DCF" w:rsidRDefault="00844DCF" w:rsidP="00844DCF">
            <w:r w:rsidRPr="00844DCF">
              <w:t>246</w:t>
            </w:r>
          </w:p>
        </w:tc>
        <w:tc>
          <w:tcPr>
            <w:tcW w:w="1870" w:type="dxa"/>
          </w:tcPr>
          <w:p w14:paraId="7FB9E6A0" w14:textId="2C31DAF3" w:rsidR="00844DCF" w:rsidRPr="00844DCF" w:rsidRDefault="00844DCF" w:rsidP="00844DCF">
            <w:r w:rsidRPr="00844DCF">
              <w:t>36</w:t>
            </w:r>
          </w:p>
        </w:tc>
        <w:tc>
          <w:tcPr>
            <w:tcW w:w="1870" w:type="dxa"/>
          </w:tcPr>
          <w:p w14:paraId="19D18615" w14:textId="0FA956BA" w:rsidR="00844DCF" w:rsidRPr="00844DCF" w:rsidRDefault="00844DCF" w:rsidP="00844DCF">
            <w:r w:rsidRPr="00844DCF">
              <w:t>89.1%</w:t>
            </w:r>
          </w:p>
        </w:tc>
      </w:tr>
      <w:tr w:rsidR="00844DCF" w:rsidRPr="00844DCF" w14:paraId="06C83076"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7449C05A" w14:textId="48F7C4DB" w:rsidR="00844DCF" w:rsidRPr="00844DCF" w:rsidRDefault="00844DCF" w:rsidP="00844DCF">
            <w:r w:rsidRPr="00844DCF">
              <w:lastRenderedPageBreak/>
              <w:t>Specialty Insurance</w:t>
            </w:r>
          </w:p>
        </w:tc>
        <w:tc>
          <w:tcPr>
            <w:tcW w:w="1870" w:type="dxa"/>
          </w:tcPr>
          <w:p w14:paraId="4C65206D" w14:textId="6447E2EB" w:rsidR="00844DCF" w:rsidRPr="00844DCF" w:rsidRDefault="00844DCF" w:rsidP="00844DCF">
            <w:r w:rsidRPr="00844DCF">
              <w:t>APAC</w:t>
            </w:r>
          </w:p>
        </w:tc>
        <w:tc>
          <w:tcPr>
            <w:tcW w:w="1870" w:type="dxa"/>
          </w:tcPr>
          <w:p w14:paraId="5E99C672" w14:textId="34D937A6" w:rsidR="00844DCF" w:rsidRPr="00844DCF" w:rsidRDefault="00844DCF" w:rsidP="00844DCF">
            <w:r w:rsidRPr="00844DCF">
              <w:t>363</w:t>
            </w:r>
          </w:p>
        </w:tc>
        <w:tc>
          <w:tcPr>
            <w:tcW w:w="1870" w:type="dxa"/>
          </w:tcPr>
          <w:p w14:paraId="4C5EDCE1" w14:textId="0C38B2D3" w:rsidR="00844DCF" w:rsidRPr="00844DCF" w:rsidRDefault="00844DCF" w:rsidP="00844DCF">
            <w:r w:rsidRPr="00844DCF">
              <w:t>47</w:t>
            </w:r>
          </w:p>
        </w:tc>
        <w:tc>
          <w:tcPr>
            <w:tcW w:w="1870" w:type="dxa"/>
          </w:tcPr>
          <w:p w14:paraId="6E4C78EE" w14:textId="7631021F" w:rsidR="00844DCF" w:rsidRPr="00844DCF" w:rsidRDefault="00844DCF" w:rsidP="00844DCF">
            <w:r w:rsidRPr="00844DCF">
              <w:t>85.3%</w:t>
            </w:r>
          </w:p>
        </w:tc>
      </w:tr>
      <w:tr w:rsidR="00844DCF" w:rsidRPr="00844DCF" w14:paraId="0B680AF6" w14:textId="77777777" w:rsidTr="00844DCF">
        <w:tc>
          <w:tcPr>
            <w:tcW w:w="1870" w:type="dxa"/>
          </w:tcPr>
          <w:p w14:paraId="6AD52407" w14:textId="31792D00" w:rsidR="00844DCF" w:rsidRPr="00844DCF" w:rsidRDefault="00844DCF" w:rsidP="00844DCF">
            <w:r w:rsidRPr="00844DCF">
              <w:t>Specialty Insurance</w:t>
            </w:r>
          </w:p>
        </w:tc>
        <w:tc>
          <w:tcPr>
            <w:tcW w:w="1870" w:type="dxa"/>
          </w:tcPr>
          <w:p w14:paraId="0DD41C1A" w14:textId="10C0243B" w:rsidR="00844DCF" w:rsidRPr="00844DCF" w:rsidRDefault="00844DCF" w:rsidP="00844DCF">
            <w:r w:rsidRPr="00844DCF">
              <w:t>EMEA</w:t>
            </w:r>
          </w:p>
        </w:tc>
        <w:tc>
          <w:tcPr>
            <w:tcW w:w="1870" w:type="dxa"/>
          </w:tcPr>
          <w:p w14:paraId="1D46D927" w14:textId="363AACFF" w:rsidR="00844DCF" w:rsidRPr="00844DCF" w:rsidRDefault="00844DCF" w:rsidP="00844DCF">
            <w:r w:rsidRPr="00844DCF">
              <w:t>480</w:t>
            </w:r>
          </w:p>
        </w:tc>
        <w:tc>
          <w:tcPr>
            <w:tcW w:w="1870" w:type="dxa"/>
          </w:tcPr>
          <w:p w14:paraId="4205807D" w14:textId="040B8A02" w:rsidR="00844DCF" w:rsidRPr="00844DCF" w:rsidRDefault="00844DCF" w:rsidP="00844DCF">
            <w:r w:rsidRPr="00844DCF">
              <w:t>59</w:t>
            </w:r>
          </w:p>
        </w:tc>
        <w:tc>
          <w:tcPr>
            <w:tcW w:w="1870" w:type="dxa"/>
          </w:tcPr>
          <w:p w14:paraId="681F14A6" w14:textId="49BA1A42" w:rsidR="00844DCF" w:rsidRPr="00844DCF" w:rsidRDefault="00844DCF" w:rsidP="00844DCF">
            <w:r w:rsidRPr="00844DCF">
              <w:t>86.0%</w:t>
            </w:r>
          </w:p>
        </w:tc>
      </w:tr>
      <w:tr w:rsidR="00844DCF" w:rsidRPr="00844DCF" w14:paraId="4DBF02C8"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2E7C7B54" w14:textId="33DA8860" w:rsidR="00844DCF" w:rsidRPr="00844DCF" w:rsidRDefault="00844DCF" w:rsidP="00844DCF">
            <w:r w:rsidRPr="00844DCF">
              <w:t>Specialty Insurance</w:t>
            </w:r>
          </w:p>
        </w:tc>
        <w:tc>
          <w:tcPr>
            <w:tcW w:w="1870" w:type="dxa"/>
          </w:tcPr>
          <w:p w14:paraId="789412C3" w14:textId="61AE9CEB" w:rsidR="00844DCF" w:rsidRPr="00844DCF" w:rsidRDefault="00844DCF" w:rsidP="00844DCF">
            <w:r w:rsidRPr="00844DCF">
              <w:t>NA</w:t>
            </w:r>
          </w:p>
        </w:tc>
        <w:tc>
          <w:tcPr>
            <w:tcW w:w="1870" w:type="dxa"/>
          </w:tcPr>
          <w:p w14:paraId="63A0CD75" w14:textId="02C6DF9B" w:rsidR="00844DCF" w:rsidRPr="00844DCF" w:rsidRDefault="00844DCF" w:rsidP="00844DCF">
            <w:r w:rsidRPr="00844DCF">
              <w:t>830</w:t>
            </w:r>
          </w:p>
        </w:tc>
        <w:tc>
          <w:tcPr>
            <w:tcW w:w="1870" w:type="dxa"/>
          </w:tcPr>
          <w:p w14:paraId="2AF6DCD8" w14:textId="227CF6EE" w:rsidR="00844DCF" w:rsidRPr="00844DCF" w:rsidRDefault="00844DCF" w:rsidP="00844DCF">
            <w:r w:rsidRPr="00844DCF">
              <w:t>94</w:t>
            </w:r>
          </w:p>
        </w:tc>
        <w:tc>
          <w:tcPr>
            <w:tcW w:w="1870" w:type="dxa"/>
          </w:tcPr>
          <w:p w14:paraId="5B830E0D" w14:textId="2F19D617" w:rsidR="00844DCF" w:rsidRPr="00844DCF" w:rsidRDefault="00844DCF" w:rsidP="00844DCF">
            <w:r w:rsidRPr="00844DCF">
              <w:t>86.7%</w:t>
            </w:r>
          </w:p>
        </w:tc>
      </w:tr>
      <w:tr w:rsidR="00844DCF" w:rsidRPr="00844DCF" w14:paraId="59ABC0A5" w14:textId="77777777" w:rsidTr="00844DCF">
        <w:tc>
          <w:tcPr>
            <w:tcW w:w="1870" w:type="dxa"/>
          </w:tcPr>
          <w:p w14:paraId="11B19371" w14:textId="2D0A64F1" w:rsidR="00844DCF" w:rsidRPr="00844DCF" w:rsidRDefault="00844DCF" w:rsidP="00844DCF">
            <w:r w:rsidRPr="00844DCF">
              <w:t>Specialty Insurance</w:t>
            </w:r>
          </w:p>
        </w:tc>
        <w:tc>
          <w:tcPr>
            <w:tcW w:w="1870" w:type="dxa"/>
          </w:tcPr>
          <w:p w14:paraId="64720FF8" w14:textId="02CF33B7" w:rsidR="00844DCF" w:rsidRPr="00844DCF" w:rsidRDefault="00844DCF" w:rsidP="00844DCF">
            <w:r w:rsidRPr="00844DCF">
              <w:t>LATAM</w:t>
            </w:r>
          </w:p>
        </w:tc>
        <w:tc>
          <w:tcPr>
            <w:tcW w:w="1870" w:type="dxa"/>
          </w:tcPr>
          <w:p w14:paraId="06DB8699" w14:textId="61FFB5DD" w:rsidR="00844DCF" w:rsidRPr="00844DCF" w:rsidRDefault="00844DCF" w:rsidP="00844DCF">
            <w:r w:rsidRPr="00844DCF">
              <w:t>129</w:t>
            </w:r>
          </w:p>
        </w:tc>
        <w:tc>
          <w:tcPr>
            <w:tcW w:w="1870" w:type="dxa"/>
          </w:tcPr>
          <w:p w14:paraId="2EC74578" w14:textId="29F0DCF2" w:rsidR="00844DCF" w:rsidRPr="00844DCF" w:rsidRDefault="00844DCF" w:rsidP="00844DCF">
            <w:r w:rsidRPr="00844DCF">
              <w:t>24</w:t>
            </w:r>
          </w:p>
        </w:tc>
        <w:tc>
          <w:tcPr>
            <w:tcW w:w="1870" w:type="dxa"/>
          </w:tcPr>
          <w:p w14:paraId="2DC0D4AD" w14:textId="1858EB7C" w:rsidR="00844DCF" w:rsidRPr="00844DCF" w:rsidRDefault="00844DCF" w:rsidP="00844DCF">
            <w:r w:rsidRPr="00844DCF">
              <w:t>87.8%</w:t>
            </w:r>
          </w:p>
        </w:tc>
      </w:tr>
      <w:tr w:rsidR="00844DCF" w:rsidRPr="00844DCF" w14:paraId="232E4344"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1C5F7D94" w14:textId="40D743CC" w:rsidR="00844DCF" w:rsidRPr="00844DCF" w:rsidRDefault="00844DCF" w:rsidP="00844DCF">
            <w:r w:rsidRPr="00844DCF">
              <w:t>Investments</w:t>
            </w:r>
          </w:p>
        </w:tc>
        <w:tc>
          <w:tcPr>
            <w:tcW w:w="1870" w:type="dxa"/>
          </w:tcPr>
          <w:p w14:paraId="16615123" w14:textId="1D50B683" w:rsidR="00844DCF" w:rsidRPr="00844DCF" w:rsidRDefault="00844DCF" w:rsidP="00844DCF">
            <w:r w:rsidRPr="00844DCF">
              <w:t>APAC</w:t>
            </w:r>
          </w:p>
        </w:tc>
        <w:tc>
          <w:tcPr>
            <w:tcW w:w="1870" w:type="dxa"/>
          </w:tcPr>
          <w:p w14:paraId="2E72724C" w14:textId="3C768B6B" w:rsidR="00844DCF" w:rsidRPr="00844DCF" w:rsidRDefault="00844DCF" w:rsidP="00844DCF">
            <w:r w:rsidRPr="00844DCF">
              <w:t>596</w:t>
            </w:r>
          </w:p>
        </w:tc>
        <w:tc>
          <w:tcPr>
            <w:tcW w:w="1870" w:type="dxa"/>
          </w:tcPr>
          <w:p w14:paraId="7797AB7E" w14:textId="2ACF5AD1" w:rsidR="00844DCF" w:rsidRPr="00844DCF" w:rsidRDefault="00844DCF" w:rsidP="00844DCF">
            <w:r w:rsidRPr="00844DCF">
              <w:t>70</w:t>
            </w:r>
          </w:p>
        </w:tc>
        <w:tc>
          <w:tcPr>
            <w:tcW w:w="1870" w:type="dxa"/>
          </w:tcPr>
          <w:p w14:paraId="109AF178" w14:textId="6FDBE0AF" w:rsidR="00844DCF" w:rsidRPr="00844DCF" w:rsidRDefault="00844DCF" w:rsidP="00844DCF">
            <w:r w:rsidRPr="00844DCF">
              <w:t>N/A</w:t>
            </w:r>
          </w:p>
        </w:tc>
      </w:tr>
      <w:tr w:rsidR="00844DCF" w:rsidRPr="00844DCF" w14:paraId="4AE59D95" w14:textId="77777777" w:rsidTr="00844DCF">
        <w:tc>
          <w:tcPr>
            <w:tcW w:w="1870" w:type="dxa"/>
          </w:tcPr>
          <w:p w14:paraId="3FE5E4E0" w14:textId="65DB3A0A" w:rsidR="00844DCF" w:rsidRPr="00844DCF" w:rsidRDefault="00844DCF" w:rsidP="00844DCF">
            <w:r w:rsidRPr="00844DCF">
              <w:t>Investments</w:t>
            </w:r>
          </w:p>
        </w:tc>
        <w:tc>
          <w:tcPr>
            <w:tcW w:w="1870" w:type="dxa"/>
          </w:tcPr>
          <w:p w14:paraId="718A303A" w14:textId="264E7477" w:rsidR="00844DCF" w:rsidRPr="00844DCF" w:rsidRDefault="00844DCF" w:rsidP="00844DCF">
            <w:r w:rsidRPr="00844DCF">
              <w:t>EMEA</w:t>
            </w:r>
          </w:p>
        </w:tc>
        <w:tc>
          <w:tcPr>
            <w:tcW w:w="1870" w:type="dxa"/>
          </w:tcPr>
          <w:p w14:paraId="5D690C84" w14:textId="2AD6C31D" w:rsidR="00844DCF" w:rsidRPr="00844DCF" w:rsidRDefault="00844DCF" w:rsidP="00844DCF">
            <w:r w:rsidRPr="00844DCF">
              <w:t>712</w:t>
            </w:r>
          </w:p>
        </w:tc>
        <w:tc>
          <w:tcPr>
            <w:tcW w:w="1870" w:type="dxa"/>
          </w:tcPr>
          <w:p w14:paraId="22121014" w14:textId="0C07E6C3" w:rsidR="00844DCF" w:rsidRPr="00844DCF" w:rsidRDefault="00844DCF" w:rsidP="00844DCF">
            <w:r w:rsidRPr="00844DCF">
              <w:t>82</w:t>
            </w:r>
          </w:p>
        </w:tc>
        <w:tc>
          <w:tcPr>
            <w:tcW w:w="1870" w:type="dxa"/>
          </w:tcPr>
          <w:p w14:paraId="29FF86DD" w14:textId="262C754C" w:rsidR="00844DCF" w:rsidRPr="00844DCF" w:rsidRDefault="00844DCF" w:rsidP="00844DCF">
            <w:r w:rsidRPr="00844DCF">
              <w:t>N/A</w:t>
            </w:r>
          </w:p>
        </w:tc>
      </w:tr>
      <w:tr w:rsidR="00844DCF" w:rsidRPr="00844DCF" w14:paraId="243DA666"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78F60E90" w14:textId="6C255385" w:rsidR="00844DCF" w:rsidRPr="00844DCF" w:rsidRDefault="00844DCF" w:rsidP="00844DCF">
            <w:r w:rsidRPr="00844DCF">
              <w:t>Investments</w:t>
            </w:r>
          </w:p>
        </w:tc>
        <w:tc>
          <w:tcPr>
            <w:tcW w:w="1870" w:type="dxa"/>
          </w:tcPr>
          <w:p w14:paraId="129994F0" w14:textId="6F02058E" w:rsidR="00844DCF" w:rsidRPr="00844DCF" w:rsidRDefault="00844DCF" w:rsidP="00844DCF">
            <w:r w:rsidRPr="00844DCF">
              <w:t>NA</w:t>
            </w:r>
          </w:p>
        </w:tc>
        <w:tc>
          <w:tcPr>
            <w:tcW w:w="1870" w:type="dxa"/>
          </w:tcPr>
          <w:p w14:paraId="28F380F3" w14:textId="3B9C1CAF" w:rsidR="00844DCF" w:rsidRPr="00844DCF" w:rsidRDefault="00844DCF" w:rsidP="00844DCF">
            <w:r w:rsidRPr="00844DCF">
              <w:t>1,296</w:t>
            </w:r>
          </w:p>
        </w:tc>
        <w:tc>
          <w:tcPr>
            <w:tcW w:w="1870" w:type="dxa"/>
          </w:tcPr>
          <w:p w14:paraId="20A6A1E0" w14:textId="6F054867" w:rsidR="00844DCF" w:rsidRPr="00844DCF" w:rsidRDefault="00844DCF" w:rsidP="00844DCF">
            <w:r w:rsidRPr="00844DCF">
              <w:t>141</w:t>
            </w:r>
          </w:p>
        </w:tc>
        <w:tc>
          <w:tcPr>
            <w:tcW w:w="1870" w:type="dxa"/>
          </w:tcPr>
          <w:p w14:paraId="339CDFAC" w14:textId="38B787A9" w:rsidR="00844DCF" w:rsidRPr="00844DCF" w:rsidRDefault="00844DCF" w:rsidP="00844DCF">
            <w:r w:rsidRPr="00844DCF">
              <w:t>N/A</w:t>
            </w:r>
          </w:p>
        </w:tc>
      </w:tr>
      <w:tr w:rsidR="00844DCF" w:rsidRPr="00844DCF" w14:paraId="58047B0A" w14:textId="77777777" w:rsidTr="00844DCF">
        <w:tc>
          <w:tcPr>
            <w:tcW w:w="1870" w:type="dxa"/>
          </w:tcPr>
          <w:p w14:paraId="236A68D2" w14:textId="3EF122EC" w:rsidR="00844DCF" w:rsidRPr="00844DCF" w:rsidRDefault="00844DCF" w:rsidP="00844DCF">
            <w:r w:rsidRPr="00844DCF">
              <w:t>Investments</w:t>
            </w:r>
          </w:p>
        </w:tc>
        <w:tc>
          <w:tcPr>
            <w:tcW w:w="1870" w:type="dxa"/>
          </w:tcPr>
          <w:p w14:paraId="44441076" w14:textId="43D58DFA" w:rsidR="00844DCF" w:rsidRPr="00844DCF" w:rsidRDefault="00844DCF" w:rsidP="00844DCF">
            <w:r w:rsidRPr="00844DCF">
              <w:t>LATAM</w:t>
            </w:r>
          </w:p>
        </w:tc>
        <w:tc>
          <w:tcPr>
            <w:tcW w:w="1870" w:type="dxa"/>
          </w:tcPr>
          <w:p w14:paraId="02386659" w14:textId="72B48C47" w:rsidR="00844DCF" w:rsidRPr="00844DCF" w:rsidRDefault="00844DCF" w:rsidP="00844DCF">
            <w:r w:rsidRPr="00844DCF">
              <w:t>246</w:t>
            </w:r>
          </w:p>
        </w:tc>
        <w:tc>
          <w:tcPr>
            <w:tcW w:w="1870" w:type="dxa"/>
          </w:tcPr>
          <w:p w14:paraId="48BB11E3" w14:textId="1376858B" w:rsidR="00844DCF" w:rsidRPr="00844DCF" w:rsidRDefault="00844DCF" w:rsidP="00844DCF">
            <w:r w:rsidRPr="00844DCF">
              <w:t>36</w:t>
            </w:r>
          </w:p>
        </w:tc>
        <w:tc>
          <w:tcPr>
            <w:tcW w:w="1870" w:type="dxa"/>
          </w:tcPr>
          <w:p w14:paraId="4BAA1C17" w14:textId="44EDE1D0" w:rsidR="00844DCF" w:rsidRPr="00844DCF" w:rsidRDefault="00844DCF" w:rsidP="00844DCF">
            <w:r w:rsidRPr="00844DCF">
              <w:t>N/A</w:t>
            </w:r>
          </w:p>
        </w:tc>
      </w:tr>
      <w:tr w:rsidR="00844DCF" w:rsidRPr="00844DCF" w14:paraId="42D331A5"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3169F496" w14:textId="3B2462BB" w:rsidR="00844DCF" w:rsidRPr="00844DCF" w:rsidRDefault="00844DCF" w:rsidP="00844DCF">
            <w:r w:rsidRPr="00844DCF">
              <w:t>Life Insurance</w:t>
            </w:r>
          </w:p>
        </w:tc>
        <w:tc>
          <w:tcPr>
            <w:tcW w:w="1870" w:type="dxa"/>
          </w:tcPr>
          <w:p w14:paraId="48D8E047" w14:textId="7DEC66F6" w:rsidR="00844DCF" w:rsidRPr="00844DCF" w:rsidRDefault="00844DCF" w:rsidP="00844DCF">
            <w:r w:rsidRPr="00844DCF">
              <w:t>APAC</w:t>
            </w:r>
          </w:p>
        </w:tc>
        <w:tc>
          <w:tcPr>
            <w:tcW w:w="1870" w:type="dxa"/>
          </w:tcPr>
          <w:p w14:paraId="4320F011" w14:textId="7136F30F" w:rsidR="00844DCF" w:rsidRPr="00844DCF" w:rsidRDefault="00844DCF" w:rsidP="00844DCF">
            <w:r w:rsidRPr="00844DCF">
              <w:t>480</w:t>
            </w:r>
          </w:p>
        </w:tc>
        <w:tc>
          <w:tcPr>
            <w:tcW w:w="1870" w:type="dxa"/>
          </w:tcPr>
          <w:p w14:paraId="61A681B5" w14:textId="641784DA" w:rsidR="00844DCF" w:rsidRPr="00844DCF" w:rsidRDefault="00844DCF" w:rsidP="00844DCF">
            <w:r w:rsidRPr="00844DCF">
              <w:t>59</w:t>
            </w:r>
          </w:p>
        </w:tc>
        <w:tc>
          <w:tcPr>
            <w:tcW w:w="1870" w:type="dxa"/>
          </w:tcPr>
          <w:p w14:paraId="4BCAEC2C" w14:textId="75508984" w:rsidR="00844DCF" w:rsidRPr="00844DCF" w:rsidRDefault="00844DCF" w:rsidP="00844DCF">
            <w:r w:rsidRPr="00844DCF">
              <w:t>N/A</w:t>
            </w:r>
          </w:p>
        </w:tc>
      </w:tr>
      <w:tr w:rsidR="00844DCF" w:rsidRPr="00844DCF" w14:paraId="2E358033" w14:textId="77777777" w:rsidTr="00844DCF">
        <w:tc>
          <w:tcPr>
            <w:tcW w:w="1870" w:type="dxa"/>
          </w:tcPr>
          <w:p w14:paraId="26734A6E" w14:textId="5583F8AC" w:rsidR="00844DCF" w:rsidRPr="00844DCF" w:rsidRDefault="00844DCF" w:rsidP="00844DCF">
            <w:r w:rsidRPr="00844DCF">
              <w:t>Life Insurance</w:t>
            </w:r>
          </w:p>
        </w:tc>
        <w:tc>
          <w:tcPr>
            <w:tcW w:w="1870" w:type="dxa"/>
          </w:tcPr>
          <w:p w14:paraId="2FFB2E49" w14:textId="42E7C327" w:rsidR="00844DCF" w:rsidRPr="00844DCF" w:rsidRDefault="00844DCF" w:rsidP="00844DCF">
            <w:r w:rsidRPr="00844DCF">
              <w:t>EMEA</w:t>
            </w:r>
          </w:p>
        </w:tc>
        <w:tc>
          <w:tcPr>
            <w:tcW w:w="1870" w:type="dxa"/>
          </w:tcPr>
          <w:p w14:paraId="522B7591" w14:textId="50367719" w:rsidR="00844DCF" w:rsidRPr="00844DCF" w:rsidRDefault="00844DCF" w:rsidP="00844DCF">
            <w:r w:rsidRPr="00844DCF">
              <w:t>596</w:t>
            </w:r>
          </w:p>
        </w:tc>
        <w:tc>
          <w:tcPr>
            <w:tcW w:w="1870" w:type="dxa"/>
          </w:tcPr>
          <w:p w14:paraId="684A2DB7" w14:textId="5483E24E" w:rsidR="00844DCF" w:rsidRPr="00844DCF" w:rsidRDefault="00844DCF" w:rsidP="00844DCF">
            <w:r w:rsidRPr="00844DCF">
              <w:t>70</w:t>
            </w:r>
          </w:p>
        </w:tc>
        <w:tc>
          <w:tcPr>
            <w:tcW w:w="1870" w:type="dxa"/>
          </w:tcPr>
          <w:p w14:paraId="00C8B0DB" w14:textId="628DBD93" w:rsidR="00844DCF" w:rsidRPr="00844DCF" w:rsidRDefault="00844DCF" w:rsidP="00844DCF">
            <w:r w:rsidRPr="00844DCF">
              <w:t>N/A</w:t>
            </w:r>
          </w:p>
        </w:tc>
      </w:tr>
      <w:tr w:rsidR="00844DCF" w:rsidRPr="00844DCF" w14:paraId="6786B5B3" w14:textId="77777777" w:rsidTr="00844DCF">
        <w:trPr>
          <w:cnfStyle w:val="000000100000" w:firstRow="0" w:lastRow="0" w:firstColumn="0" w:lastColumn="0" w:oddVBand="0" w:evenVBand="0" w:oddHBand="1" w:evenHBand="0" w:firstRowFirstColumn="0" w:firstRowLastColumn="0" w:lastRowFirstColumn="0" w:lastRowLastColumn="0"/>
        </w:trPr>
        <w:tc>
          <w:tcPr>
            <w:tcW w:w="1870" w:type="dxa"/>
          </w:tcPr>
          <w:p w14:paraId="056DFCF7" w14:textId="35F58CAA" w:rsidR="00844DCF" w:rsidRPr="00844DCF" w:rsidRDefault="00844DCF" w:rsidP="00844DCF">
            <w:r w:rsidRPr="00844DCF">
              <w:t>Life Insurance</w:t>
            </w:r>
          </w:p>
        </w:tc>
        <w:tc>
          <w:tcPr>
            <w:tcW w:w="1870" w:type="dxa"/>
          </w:tcPr>
          <w:p w14:paraId="678E51BD" w14:textId="28221A2B" w:rsidR="00844DCF" w:rsidRPr="00844DCF" w:rsidRDefault="00844DCF" w:rsidP="00844DCF">
            <w:r w:rsidRPr="00844DCF">
              <w:t>NA</w:t>
            </w:r>
          </w:p>
        </w:tc>
        <w:tc>
          <w:tcPr>
            <w:tcW w:w="1870" w:type="dxa"/>
          </w:tcPr>
          <w:p w14:paraId="59E2C0D6" w14:textId="3F52B73E" w:rsidR="00844DCF" w:rsidRPr="00844DCF" w:rsidRDefault="00844DCF" w:rsidP="00844DCF">
            <w:r w:rsidRPr="00844DCF">
              <w:t>830</w:t>
            </w:r>
          </w:p>
        </w:tc>
        <w:tc>
          <w:tcPr>
            <w:tcW w:w="1870" w:type="dxa"/>
          </w:tcPr>
          <w:p w14:paraId="6B0CB146" w14:textId="634C9445" w:rsidR="00844DCF" w:rsidRPr="00844DCF" w:rsidRDefault="00844DCF" w:rsidP="00844DCF">
            <w:r w:rsidRPr="00844DCF">
              <w:t>94</w:t>
            </w:r>
          </w:p>
        </w:tc>
        <w:tc>
          <w:tcPr>
            <w:tcW w:w="1870" w:type="dxa"/>
          </w:tcPr>
          <w:p w14:paraId="60F9BAF8" w14:textId="0BE1179A" w:rsidR="00844DCF" w:rsidRPr="00844DCF" w:rsidRDefault="00844DCF" w:rsidP="00844DCF">
            <w:r w:rsidRPr="00844DCF">
              <w:t>N/A</w:t>
            </w:r>
          </w:p>
        </w:tc>
      </w:tr>
      <w:tr w:rsidR="00844DCF" w:rsidRPr="00844DCF" w14:paraId="76616EA4" w14:textId="77777777" w:rsidTr="00844DCF">
        <w:tc>
          <w:tcPr>
            <w:tcW w:w="1870" w:type="dxa"/>
          </w:tcPr>
          <w:p w14:paraId="43D92695" w14:textId="12DE8A02" w:rsidR="00844DCF" w:rsidRPr="00844DCF" w:rsidRDefault="00844DCF" w:rsidP="00844DCF">
            <w:r w:rsidRPr="00844DCF">
              <w:t>Life Insurance</w:t>
            </w:r>
          </w:p>
        </w:tc>
        <w:tc>
          <w:tcPr>
            <w:tcW w:w="1870" w:type="dxa"/>
          </w:tcPr>
          <w:p w14:paraId="7CA9F632" w14:textId="7E612F16" w:rsidR="00844DCF" w:rsidRPr="00844DCF" w:rsidRDefault="00844DCF" w:rsidP="00844DCF">
            <w:r w:rsidRPr="00844DCF">
              <w:t>LATAM</w:t>
            </w:r>
          </w:p>
        </w:tc>
        <w:tc>
          <w:tcPr>
            <w:tcW w:w="1870" w:type="dxa"/>
          </w:tcPr>
          <w:p w14:paraId="1F56D4BA" w14:textId="71586051" w:rsidR="00844DCF" w:rsidRPr="00844DCF" w:rsidRDefault="00844DCF" w:rsidP="00844DCF">
            <w:r w:rsidRPr="00844DCF">
              <w:t>129</w:t>
            </w:r>
          </w:p>
        </w:tc>
        <w:tc>
          <w:tcPr>
            <w:tcW w:w="1870" w:type="dxa"/>
          </w:tcPr>
          <w:p w14:paraId="612BA116" w14:textId="6673F10B" w:rsidR="00844DCF" w:rsidRPr="00844DCF" w:rsidRDefault="00844DCF" w:rsidP="00844DCF">
            <w:r w:rsidRPr="00844DCF">
              <w:t>24</w:t>
            </w:r>
          </w:p>
        </w:tc>
        <w:tc>
          <w:tcPr>
            <w:tcW w:w="1870" w:type="dxa"/>
          </w:tcPr>
          <w:p w14:paraId="61CFA7B3" w14:textId="08F32950" w:rsidR="00844DCF" w:rsidRPr="00844DCF" w:rsidRDefault="00844DCF" w:rsidP="00844DCF">
            <w:r w:rsidRPr="00844DCF">
              <w:t>N/A</w:t>
            </w:r>
          </w:p>
        </w:tc>
      </w:tr>
    </w:tbl>
    <w:p w14:paraId="46CE42A1" w14:textId="77777777" w:rsidR="00584545" w:rsidRDefault="00584545" w:rsidP="00844DCF">
      <w:pPr>
        <w:pStyle w:val="Heading1"/>
      </w:pPr>
    </w:p>
    <w:p w14:paraId="254BD1D2" w14:textId="7C70C629" w:rsidR="00203202" w:rsidRDefault="00203202" w:rsidP="00584545">
      <w:r>
        <w:rPr>
          <w:noProof/>
        </w:rPr>
        <w:drawing>
          <wp:inline distT="0" distB="0" distL="0" distR="0" wp14:anchorId="0D6F041D" wp14:editId="3068C968">
            <wp:extent cx="4572000" cy="2743200"/>
            <wp:effectExtent l="0" t="0" r="0" b="0"/>
            <wp:docPr id="671512321" name="Chart 1">
              <a:extLst xmlns:a="http://schemas.openxmlformats.org/drawingml/2006/main">
                <a:ext uri="{FF2B5EF4-FFF2-40B4-BE49-F238E27FC236}">
                  <a16:creationId xmlns:a16="http://schemas.microsoft.com/office/drawing/2014/main" id="{FB4A167E-52CE-7CC0-5206-F7EC9D6492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85A9B9" w14:textId="77777777" w:rsidR="00203202" w:rsidRPr="00203202" w:rsidRDefault="00203202" w:rsidP="00203202"/>
    <w:p w14:paraId="05CACDA1" w14:textId="1C425A0F" w:rsidR="00844DCF" w:rsidRDefault="00844DCF" w:rsidP="00844DCF">
      <w:pPr>
        <w:pStyle w:val="Heading1"/>
      </w:pPr>
      <w:r>
        <w:t>Summary</w:t>
      </w:r>
    </w:p>
    <w:p w14:paraId="56B024CA" w14:textId="77777777" w:rsidR="00844DCF" w:rsidRDefault="00844DCF" w:rsidP="00844DCF">
      <w:r w:rsidRPr="00844DCF">
        <w:t>TR Insurance achieved a strong financial performance in 2019, with a total net written premium of 18,272, a total net income of 2,273, and a total combined ratio of 88.1%. The company increased its net written premium by 5.4%, its net income by 5.4%, and improved its combined ratio by 0.4 percentage points compared to 2018.</w:t>
      </w:r>
    </w:p>
    <w:p w14:paraId="11E97BBD" w14:textId="77777777" w:rsidR="00844DCF" w:rsidRDefault="00844DCF" w:rsidP="00844DCF">
      <w:r w:rsidRPr="00844DCF">
        <w:lastRenderedPageBreak/>
        <w:t>The company's performance was driven by its diversified portfolio of products and services, its geographic expansion, its operational efficiency, and its prudent risk management. The company's lines of business showed consistent growth and profitability across the regions, with Auto, Home, and Specialty Insurance being the most profitable segments. The company's investments and life insurance businesses also contributed to the overall results, providing stable and diversified sources of income.</w:t>
      </w:r>
    </w:p>
    <w:p w14:paraId="108F1506" w14:textId="77777777" w:rsidR="00844DCF" w:rsidRDefault="00844DCF" w:rsidP="00844DCF">
      <w:pPr>
        <w:pStyle w:val="Heading1"/>
      </w:pPr>
      <w:r>
        <w:t>Conclusion</w:t>
      </w:r>
    </w:p>
    <w:p w14:paraId="2C66E023" w14:textId="3EE27429" w:rsidR="00844DCF" w:rsidRPr="00844DCF" w:rsidRDefault="00844DCF" w:rsidP="00844DCF">
      <w:r w:rsidRPr="00844DCF">
        <w:t>TR Insurance is a leading provider of property and casualty insurance, with a strong financial performance in 2019. The company has a competitive advantage in the market, with a wide range of products and services, a global presence, a loyal customer base, and a skilled and motivated workforce. The company is well-positioned to face the challenges and opportunities in the insurance industry, and to continue to deliver value to its stakeholders.</w:t>
      </w:r>
    </w:p>
    <w:p w14:paraId="7DC1491C" w14:textId="45FD95C1" w:rsidR="009F47E2" w:rsidRPr="00844DCF" w:rsidRDefault="009F47E2" w:rsidP="00844DCF"/>
    <w:sectPr w:rsidR="009F47E2" w:rsidRPr="0084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CF"/>
    <w:rsid w:val="00015DB4"/>
    <w:rsid w:val="00203202"/>
    <w:rsid w:val="00584545"/>
    <w:rsid w:val="00844DCF"/>
    <w:rsid w:val="009F47E2"/>
    <w:rsid w:val="00E13178"/>
    <w:rsid w:val="00F220E7"/>
    <w:rsid w:val="00F90899"/>
    <w:rsid w:val="00FB4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ED26"/>
  <w15:chartTrackingRefBased/>
  <w15:docId w15:val="{42AB2ECF-06E5-4002-A4A8-BC115743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DCF"/>
    <w:rPr>
      <w:rFonts w:eastAsiaTheme="majorEastAsia" w:cstheme="majorBidi"/>
      <w:color w:val="272727" w:themeColor="text1" w:themeTint="D8"/>
    </w:rPr>
  </w:style>
  <w:style w:type="paragraph" w:styleId="Title">
    <w:name w:val="Title"/>
    <w:basedOn w:val="Normal"/>
    <w:next w:val="Normal"/>
    <w:link w:val="TitleChar"/>
    <w:uiPriority w:val="10"/>
    <w:qFormat/>
    <w:rsid w:val="00844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DCF"/>
    <w:pPr>
      <w:spacing w:before="160"/>
      <w:jc w:val="center"/>
    </w:pPr>
    <w:rPr>
      <w:i/>
      <w:iCs/>
      <w:color w:val="404040" w:themeColor="text1" w:themeTint="BF"/>
    </w:rPr>
  </w:style>
  <w:style w:type="character" w:customStyle="1" w:styleId="QuoteChar">
    <w:name w:val="Quote Char"/>
    <w:basedOn w:val="DefaultParagraphFont"/>
    <w:link w:val="Quote"/>
    <w:uiPriority w:val="29"/>
    <w:rsid w:val="00844DCF"/>
    <w:rPr>
      <w:i/>
      <w:iCs/>
      <w:color w:val="404040" w:themeColor="text1" w:themeTint="BF"/>
    </w:rPr>
  </w:style>
  <w:style w:type="paragraph" w:styleId="ListParagraph">
    <w:name w:val="List Paragraph"/>
    <w:basedOn w:val="Normal"/>
    <w:uiPriority w:val="34"/>
    <w:qFormat/>
    <w:rsid w:val="00844DCF"/>
    <w:pPr>
      <w:ind w:left="720"/>
      <w:contextualSpacing/>
    </w:pPr>
  </w:style>
  <w:style w:type="character" w:styleId="IntenseEmphasis">
    <w:name w:val="Intense Emphasis"/>
    <w:basedOn w:val="DefaultParagraphFont"/>
    <w:uiPriority w:val="21"/>
    <w:qFormat/>
    <w:rsid w:val="00844DCF"/>
    <w:rPr>
      <w:i/>
      <w:iCs/>
      <w:color w:val="0F4761" w:themeColor="accent1" w:themeShade="BF"/>
    </w:rPr>
  </w:style>
  <w:style w:type="paragraph" w:styleId="IntenseQuote">
    <w:name w:val="Intense Quote"/>
    <w:basedOn w:val="Normal"/>
    <w:next w:val="Normal"/>
    <w:link w:val="IntenseQuoteChar"/>
    <w:uiPriority w:val="30"/>
    <w:qFormat/>
    <w:rsid w:val="00844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DCF"/>
    <w:rPr>
      <w:i/>
      <w:iCs/>
      <w:color w:val="0F4761" w:themeColor="accent1" w:themeShade="BF"/>
    </w:rPr>
  </w:style>
  <w:style w:type="character" w:styleId="IntenseReference">
    <w:name w:val="Intense Reference"/>
    <w:basedOn w:val="DefaultParagraphFont"/>
    <w:uiPriority w:val="32"/>
    <w:qFormat/>
    <w:rsid w:val="00844DCF"/>
    <w:rPr>
      <w:b/>
      <w:bCs/>
      <w:smallCaps/>
      <w:color w:val="0F4761" w:themeColor="accent1" w:themeShade="BF"/>
      <w:spacing w:val="5"/>
    </w:rPr>
  </w:style>
  <w:style w:type="table" w:styleId="TableGrid">
    <w:name w:val="Table Grid"/>
    <w:basedOn w:val="TableNormal"/>
    <w:uiPriority w:val="39"/>
    <w:rsid w:val="00844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44D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Sheet1!$B$15</c:f>
              <c:strCache>
                <c:ptCount val="1"/>
                <c:pt idx="0">
                  <c:v>Net Income</c:v>
                </c:pt>
              </c:strCache>
            </c:strRef>
          </c:tx>
          <c:spPr>
            <a:solidFill>
              <a:schemeClr val="accent1"/>
            </a:solidFill>
            <a:ln>
              <a:noFill/>
            </a:ln>
            <a:effectLst/>
          </c:spPr>
          <c:invertIfNegative val="0"/>
          <c:cat>
            <c:strRef>
              <c:f>Sheet1!$A$16:$A$20</c:f>
              <c:strCache>
                <c:ptCount val="5"/>
                <c:pt idx="0">
                  <c:v>North America</c:v>
                </c:pt>
                <c:pt idx="1">
                  <c:v>Europe</c:v>
                </c:pt>
                <c:pt idx="2">
                  <c:v>Asia-Pacific</c:v>
                </c:pt>
                <c:pt idx="3">
                  <c:v>Latin America</c:v>
                </c:pt>
                <c:pt idx="4">
                  <c:v>Middle East and Africa</c:v>
                </c:pt>
              </c:strCache>
            </c:strRef>
          </c:cat>
          <c:val>
            <c:numRef>
              <c:f>Sheet1!$B$16:$B$20</c:f>
              <c:numCache>
                <c:formatCode>General</c:formatCode>
                <c:ptCount val="5"/>
                <c:pt idx="0" formatCode="#,##0">
                  <c:v>1234</c:v>
                </c:pt>
                <c:pt idx="1">
                  <c:v>543</c:v>
                </c:pt>
                <c:pt idx="2">
                  <c:v>312</c:v>
                </c:pt>
                <c:pt idx="3">
                  <c:v>109</c:v>
                </c:pt>
                <c:pt idx="4">
                  <c:v>75</c:v>
                </c:pt>
              </c:numCache>
            </c:numRef>
          </c:val>
          <c:extLst>
            <c:ext xmlns:c16="http://schemas.microsoft.com/office/drawing/2014/chart" uri="{C3380CC4-5D6E-409C-BE32-E72D297353CC}">
              <c16:uniqueId val="{00000000-27B2-4302-AF39-CD62BD55F505}"/>
            </c:ext>
          </c:extLst>
        </c:ser>
        <c:ser>
          <c:idx val="1"/>
          <c:order val="1"/>
          <c:tx>
            <c:strRef>
              <c:f>Sheet1!$C$15</c:f>
              <c:strCache>
                <c:ptCount val="1"/>
                <c:pt idx="0">
                  <c:v>Combined Ratio</c:v>
                </c:pt>
              </c:strCache>
            </c:strRef>
          </c:tx>
          <c:spPr>
            <a:solidFill>
              <a:schemeClr val="accent2"/>
            </a:solidFill>
            <a:ln>
              <a:noFill/>
            </a:ln>
            <a:effectLst/>
          </c:spPr>
          <c:invertIfNegative val="0"/>
          <c:cat>
            <c:strRef>
              <c:f>Sheet1!$A$16:$A$20</c:f>
              <c:strCache>
                <c:ptCount val="5"/>
                <c:pt idx="0">
                  <c:v>North America</c:v>
                </c:pt>
                <c:pt idx="1">
                  <c:v>Europe</c:v>
                </c:pt>
                <c:pt idx="2">
                  <c:v>Asia-Pacific</c:v>
                </c:pt>
                <c:pt idx="3">
                  <c:v>Latin America</c:v>
                </c:pt>
                <c:pt idx="4">
                  <c:v>Middle East and Africa</c:v>
                </c:pt>
              </c:strCache>
            </c:strRef>
          </c:cat>
          <c:val>
            <c:numRef>
              <c:f>Sheet1!$C$16:$C$20</c:f>
              <c:numCache>
                <c:formatCode>General</c:formatCode>
                <c:ptCount val="5"/>
                <c:pt idx="0">
                  <c:v>86.7</c:v>
                </c:pt>
                <c:pt idx="1">
                  <c:v>89.2</c:v>
                </c:pt>
                <c:pt idx="2">
                  <c:v>90.4</c:v>
                </c:pt>
                <c:pt idx="3">
                  <c:v>92.5</c:v>
                </c:pt>
                <c:pt idx="4">
                  <c:v>93.8</c:v>
                </c:pt>
              </c:numCache>
            </c:numRef>
          </c:val>
          <c:extLst>
            <c:ext xmlns:c16="http://schemas.microsoft.com/office/drawing/2014/chart" uri="{C3380CC4-5D6E-409C-BE32-E72D297353CC}">
              <c16:uniqueId val="{00000001-27B2-4302-AF39-CD62BD55F505}"/>
            </c:ext>
          </c:extLst>
        </c:ser>
        <c:dLbls>
          <c:showLegendKey val="0"/>
          <c:showVal val="0"/>
          <c:showCatName val="0"/>
          <c:showSerName val="0"/>
          <c:showPercent val="0"/>
          <c:showBubbleSize val="0"/>
        </c:dLbls>
        <c:gapWidth val="182"/>
        <c:axId val="345899008"/>
        <c:axId val="345897568"/>
      </c:barChart>
      <c:catAx>
        <c:axId val="345899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897568"/>
        <c:crosses val="autoZero"/>
        <c:auto val="1"/>
        <c:lblAlgn val="ctr"/>
        <c:lblOffset val="100"/>
        <c:noMultiLvlLbl val="0"/>
      </c:catAx>
      <c:valAx>
        <c:axId val="34589756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89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Barari (TR)</dc:creator>
  <cp:keywords/>
  <dc:description/>
  <cp:lastModifiedBy>Tirthankar Barari (TR)</cp:lastModifiedBy>
  <cp:revision>2</cp:revision>
  <dcterms:created xsi:type="dcterms:W3CDTF">2024-03-18T16:49:00Z</dcterms:created>
  <dcterms:modified xsi:type="dcterms:W3CDTF">2024-03-18T17:55:00Z</dcterms:modified>
</cp:coreProperties>
</file>