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1862" w14:textId="77777777" w:rsidR="006F1BDF" w:rsidRPr="00773374" w:rsidRDefault="006F1BDF" w:rsidP="006F1BDF">
      <w:pPr>
        <w:spacing w:before="720" w:after="720" w:line="240" w:lineRule="auto"/>
        <w:rPr>
          <w:rFonts w:ascii="Times New Roman" w:eastAsia="Times New Roman" w:hAnsi="Times New Roman" w:cs="Times New Roman"/>
          <w:sz w:val="24"/>
          <w:szCs w:val="24"/>
        </w:rPr>
      </w:pPr>
      <w:r w:rsidRPr="00C2259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D6B185A" wp14:editId="3091E600">
                <wp:simplePos x="0" y="0"/>
                <wp:positionH relativeFrom="margin">
                  <wp:posOffset>651510</wp:posOffset>
                </wp:positionH>
                <wp:positionV relativeFrom="paragraph">
                  <wp:posOffset>342900</wp:posOffset>
                </wp:positionV>
                <wp:extent cx="48101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chemeClr val="bg1"/>
                          </a:solidFill>
                          <a:miter lim="800000"/>
                          <a:headEnd/>
                          <a:tailEnd/>
                        </a:ln>
                      </wps:spPr>
                      <wps:txbx>
                        <w:txbxContent>
                          <w:p w14:paraId="1F603201" w14:textId="77777777" w:rsidR="006F1BDF" w:rsidRDefault="006F1BDF" w:rsidP="006F1BDF">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486B2183" w14:textId="77777777" w:rsidR="006F1BDF" w:rsidRPr="00B02AB8" w:rsidRDefault="006F1BDF" w:rsidP="006F1BDF">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B185A" id="_x0000_t202" coordsize="21600,21600" o:spt="202" path="m,l,21600r21600,l21600,xe">
                <v:stroke joinstyle="miter"/>
                <v:path gradientshapeok="t" o:connecttype="rect"/>
              </v:shapetype>
              <v:shape id="Text Box 2" o:spid="_x0000_s1026" type="#_x0000_t202" style="position:absolute;margin-left:51.3pt;margin-top:27pt;width:37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" strokecolor="white [3212]">
                <v:textbox style="mso-fit-shape-to-text:t">
                  <w:txbxContent>
                    <w:p w14:paraId="1F603201" w14:textId="77777777" w:rsidR="006F1BDF" w:rsidRDefault="006F1BDF" w:rsidP="006F1BDF">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486B2183" w14:textId="77777777" w:rsidR="006F1BDF" w:rsidRPr="00B02AB8" w:rsidRDefault="006F1BDF" w:rsidP="006F1BDF">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v:textbox>
                <w10:wrap type="square" anchorx="margin"/>
              </v:shape>
            </w:pict>
          </mc:Fallback>
        </mc:AlternateContent>
      </w:r>
      <w:r w:rsidRPr="00EB3626">
        <w:rPr>
          <w:rFonts w:ascii="Times New Roman" w:eastAsia="Times New Roman" w:hAnsi="Times New Roman" w:cs="Times New Roman"/>
          <w:noProof/>
          <w:sz w:val="24"/>
          <w:szCs w:val="24"/>
        </w:rPr>
        <w:drawing>
          <wp:inline distT="0" distB="0" distL="0" distR="0" wp14:anchorId="68315568" wp14:editId="47A65497">
            <wp:extent cx="524510" cy="704809"/>
            <wp:effectExtent l="0" t="0" r="8890" b="635"/>
            <wp:docPr id="1694255231" name="Picture 1" descr="A car with an umbrella on the 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5231" name="Picture 1" descr="A car with an umbrella on the hood&#10;&#10;Description automatically generated"/>
                    <pic:cNvPicPr/>
                  </pic:nvPicPr>
                  <pic:blipFill>
                    <a:blip r:embed="rId5"/>
                    <a:stretch>
                      <a:fillRect/>
                    </a:stretch>
                  </pic:blipFill>
                  <pic:spPr>
                    <a:xfrm>
                      <a:off x="0" y="0"/>
                      <a:ext cx="582447" cy="782662"/>
                    </a:xfrm>
                    <a:prstGeom prst="rect">
                      <a:avLst/>
                    </a:prstGeom>
                  </pic:spPr>
                </pic:pic>
              </a:graphicData>
            </a:graphic>
          </wp:inline>
        </w:drawing>
      </w:r>
    </w:p>
    <w:p w14:paraId="33855719" w14:textId="209A6AFE" w:rsidR="006F1BDF" w:rsidRDefault="006F1BDF" w:rsidP="006F1BDF">
      <w:pPr>
        <w:pStyle w:val="Title"/>
        <w:jc w:val="center"/>
      </w:pPr>
      <w:r>
        <w:t>Annual Business Report 202</w:t>
      </w:r>
      <w:r>
        <w:t>1</w:t>
      </w:r>
    </w:p>
    <w:p w14:paraId="142FB94B" w14:textId="77777777" w:rsidR="00DE1BD0" w:rsidRDefault="00DE1BD0" w:rsidP="00DE1BD0">
      <w:pPr>
        <w:pStyle w:val="Heading1"/>
      </w:pPr>
      <w:r>
        <w:t>Introduction</w:t>
      </w:r>
    </w:p>
    <w:p w14:paraId="017B3646" w14:textId="77777777" w:rsidR="00DE1BD0" w:rsidRDefault="00DE1BD0" w:rsidP="00DE1BD0">
      <w:r w:rsidRPr="00DE1BD0">
        <w:t>TR Insurance is a leading P&amp;C insurance company that offers a wide range of products and services to its customers. The company operates in four regions: Asia-Pacific (APAC), Europe, Middle East and Africa (EMEA), North America (NA), and Latin America (LATAM). The company's main lines of business are: Auto, Home, Small Business, Specialty Insurance, Investments, and Life Insurance.</w:t>
      </w:r>
    </w:p>
    <w:p w14:paraId="074F7912" w14:textId="77777777" w:rsidR="00DE1BD0" w:rsidRDefault="00DE1BD0" w:rsidP="00DE1BD0">
      <w:r w:rsidRPr="00DE1BD0">
        <w:t>This document presents the financial results of TR Insurance for the year 2021, based on the data from the previous year 2020. The document provides the net written premiums, the net income, and the combined ratio for each line of business and region. The document also includes a table that summarizes the data and a conclusion that highlights the main achievements and challenges of the company.</w:t>
      </w:r>
    </w:p>
    <w:p w14:paraId="11509F77" w14:textId="77777777" w:rsidR="00DE1BD0" w:rsidRDefault="00DE1BD0" w:rsidP="00DE1BD0">
      <w:pPr>
        <w:pStyle w:val="Heading1"/>
      </w:pPr>
      <w:r>
        <w:t>Financial Performance</w:t>
      </w:r>
    </w:p>
    <w:tbl>
      <w:tblPr>
        <w:tblStyle w:val="PlainTable1"/>
        <w:tblW w:w="0" w:type="auto"/>
        <w:tblLook w:val="0420" w:firstRow="1" w:lastRow="0" w:firstColumn="0" w:lastColumn="0" w:noHBand="0" w:noVBand="1"/>
      </w:tblPr>
      <w:tblGrid>
        <w:gridCol w:w="1870"/>
        <w:gridCol w:w="1870"/>
        <w:gridCol w:w="1870"/>
        <w:gridCol w:w="1870"/>
        <w:gridCol w:w="1870"/>
      </w:tblGrid>
      <w:tr w:rsidR="00DE1BD0" w:rsidRPr="00DE1BD0" w14:paraId="0C6E853D" w14:textId="77777777" w:rsidTr="00DE1BD0">
        <w:trPr>
          <w:cnfStyle w:val="100000000000" w:firstRow="1" w:lastRow="0" w:firstColumn="0" w:lastColumn="0" w:oddVBand="0" w:evenVBand="0" w:oddHBand="0" w:evenHBand="0" w:firstRowFirstColumn="0" w:firstRowLastColumn="0" w:lastRowFirstColumn="0" w:lastRowLastColumn="0"/>
        </w:trPr>
        <w:tc>
          <w:tcPr>
            <w:tcW w:w="1870" w:type="dxa"/>
          </w:tcPr>
          <w:p w14:paraId="53612963" w14:textId="06FA1F0D" w:rsidR="00DE1BD0" w:rsidRPr="00DE1BD0" w:rsidRDefault="00DE1BD0" w:rsidP="00DE1BD0">
            <w:r w:rsidRPr="00DE1BD0">
              <w:t>Line of Business</w:t>
            </w:r>
          </w:p>
        </w:tc>
        <w:tc>
          <w:tcPr>
            <w:tcW w:w="1870" w:type="dxa"/>
          </w:tcPr>
          <w:p w14:paraId="517DA7C3" w14:textId="4485D771" w:rsidR="00DE1BD0" w:rsidRPr="00DE1BD0" w:rsidRDefault="00DE1BD0" w:rsidP="00DE1BD0">
            <w:r w:rsidRPr="00DE1BD0">
              <w:t>Region</w:t>
            </w:r>
          </w:p>
        </w:tc>
        <w:tc>
          <w:tcPr>
            <w:tcW w:w="1870" w:type="dxa"/>
          </w:tcPr>
          <w:p w14:paraId="5C99B3C9" w14:textId="5DA6D9D9" w:rsidR="00DE1BD0" w:rsidRPr="00DE1BD0" w:rsidRDefault="00DE1BD0" w:rsidP="00DE1BD0">
            <w:r w:rsidRPr="00DE1BD0">
              <w:t>Net Written Premiums</w:t>
            </w:r>
          </w:p>
        </w:tc>
        <w:tc>
          <w:tcPr>
            <w:tcW w:w="1870" w:type="dxa"/>
          </w:tcPr>
          <w:p w14:paraId="0F931EF5" w14:textId="650044D4" w:rsidR="00DE1BD0" w:rsidRPr="00DE1BD0" w:rsidRDefault="00DE1BD0" w:rsidP="00DE1BD0">
            <w:r w:rsidRPr="00DE1BD0">
              <w:t>Net Income</w:t>
            </w:r>
          </w:p>
        </w:tc>
        <w:tc>
          <w:tcPr>
            <w:tcW w:w="1870" w:type="dxa"/>
          </w:tcPr>
          <w:p w14:paraId="1A1756ED" w14:textId="565D618A" w:rsidR="00DE1BD0" w:rsidRPr="00DE1BD0" w:rsidRDefault="00DE1BD0" w:rsidP="00DE1BD0">
            <w:r w:rsidRPr="00DE1BD0">
              <w:t>Combined Ratio</w:t>
            </w:r>
          </w:p>
        </w:tc>
      </w:tr>
      <w:tr w:rsidR="00DE1BD0" w:rsidRPr="00DE1BD0" w14:paraId="08D3474C"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505D67D8" w14:textId="2C62DA25" w:rsidR="00DE1BD0" w:rsidRPr="00DE1BD0" w:rsidRDefault="00DE1BD0" w:rsidP="00DE1BD0">
            <w:r w:rsidRPr="00DE1BD0">
              <w:t>Auto</w:t>
            </w:r>
          </w:p>
        </w:tc>
        <w:tc>
          <w:tcPr>
            <w:tcW w:w="1870" w:type="dxa"/>
          </w:tcPr>
          <w:p w14:paraId="2A65B01F" w14:textId="6757855F" w:rsidR="00DE1BD0" w:rsidRPr="00DE1BD0" w:rsidRDefault="00DE1BD0" w:rsidP="00DE1BD0">
            <w:r w:rsidRPr="00DE1BD0">
              <w:t>APAC</w:t>
            </w:r>
          </w:p>
        </w:tc>
        <w:tc>
          <w:tcPr>
            <w:tcW w:w="1870" w:type="dxa"/>
          </w:tcPr>
          <w:p w14:paraId="1A226942" w14:textId="23A475BD" w:rsidR="00DE1BD0" w:rsidRPr="00DE1BD0" w:rsidRDefault="00DE1BD0" w:rsidP="00DE1BD0">
            <w:r w:rsidRPr="00DE1BD0">
              <w:t>1,389</w:t>
            </w:r>
          </w:p>
        </w:tc>
        <w:tc>
          <w:tcPr>
            <w:tcW w:w="1870" w:type="dxa"/>
          </w:tcPr>
          <w:p w14:paraId="352CD435" w14:textId="7745A089" w:rsidR="00DE1BD0" w:rsidRPr="00DE1BD0" w:rsidRDefault="00DE1BD0" w:rsidP="00DE1BD0">
            <w:r w:rsidRPr="00DE1BD0">
              <w:t>263</w:t>
            </w:r>
          </w:p>
        </w:tc>
        <w:tc>
          <w:tcPr>
            <w:tcW w:w="1870" w:type="dxa"/>
          </w:tcPr>
          <w:p w14:paraId="13D5B6D2" w14:textId="452C8F8C" w:rsidR="00DE1BD0" w:rsidRPr="00DE1BD0" w:rsidRDefault="00DE1BD0" w:rsidP="00DE1BD0">
            <w:r w:rsidRPr="00DE1BD0">
              <w:t>87.5%</w:t>
            </w:r>
          </w:p>
        </w:tc>
      </w:tr>
      <w:tr w:rsidR="00DE1BD0" w:rsidRPr="00DE1BD0" w14:paraId="00E3BFD6" w14:textId="77777777" w:rsidTr="00DE1BD0">
        <w:tc>
          <w:tcPr>
            <w:tcW w:w="1870" w:type="dxa"/>
          </w:tcPr>
          <w:p w14:paraId="627F3E05" w14:textId="3C432020" w:rsidR="00DE1BD0" w:rsidRPr="00DE1BD0" w:rsidRDefault="00DE1BD0" w:rsidP="00DE1BD0">
            <w:r w:rsidRPr="00DE1BD0">
              <w:t>Auto</w:t>
            </w:r>
          </w:p>
        </w:tc>
        <w:tc>
          <w:tcPr>
            <w:tcW w:w="1870" w:type="dxa"/>
          </w:tcPr>
          <w:p w14:paraId="467B4040" w14:textId="76344BFB" w:rsidR="00DE1BD0" w:rsidRPr="00DE1BD0" w:rsidRDefault="00DE1BD0" w:rsidP="00DE1BD0">
            <w:r w:rsidRPr="00DE1BD0">
              <w:t>EMEA</w:t>
            </w:r>
          </w:p>
        </w:tc>
        <w:tc>
          <w:tcPr>
            <w:tcW w:w="1870" w:type="dxa"/>
          </w:tcPr>
          <w:p w14:paraId="015CA973" w14:textId="4F53D81D" w:rsidR="00DE1BD0" w:rsidRPr="00DE1BD0" w:rsidRDefault="00DE1BD0" w:rsidP="00DE1BD0">
            <w:r w:rsidRPr="00DE1BD0">
              <w:t>1,633</w:t>
            </w:r>
          </w:p>
        </w:tc>
        <w:tc>
          <w:tcPr>
            <w:tcW w:w="1870" w:type="dxa"/>
          </w:tcPr>
          <w:p w14:paraId="5ADD5E38" w14:textId="5E96BB28" w:rsidR="00DE1BD0" w:rsidRPr="00DE1BD0" w:rsidRDefault="00DE1BD0" w:rsidP="00DE1BD0">
            <w:r w:rsidRPr="00DE1BD0">
              <w:t>287</w:t>
            </w:r>
          </w:p>
        </w:tc>
        <w:tc>
          <w:tcPr>
            <w:tcW w:w="1870" w:type="dxa"/>
          </w:tcPr>
          <w:p w14:paraId="79746215" w14:textId="5796D994" w:rsidR="00DE1BD0" w:rsidRPr="00DE1BD0" w:rsidRDefault="00DE1BD0" w:rsidP="00DE1BD0">
            <w:r w:rsidRPr="00DE1BD0">
              <w:t>88.6%</w:t>
            </w:r>
          </w:p>
        </w:tc>
      </w:tr>
      <w:tr w:rsidR="00DE1BD0" w:rsidRPr="00DE1BD0" w14:paraId="7ADFE7DD"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373CE2C6" w14:textId="7ACF13F9" w:rsidR="00DE1BD0" w:rsidRPr="00DE1BD0" w:rsidRDefault="00DE1BD0" w:rsidP="00DE1BD0">
            <w:r w:rsidRPr="00DE1BD0">
              <w:t>Auto</w:t>
            </w:r>
          </w:p>
        </w:tc>
        <w:tc>
          <w:tcPr>
            <w:tcW w:w="1870" w:type="dxa"/>
          </w:tcPr>
          <w:p w14:paraId="35D48745" w14:textId="753E400C" w:rsidR="00DE1BD0" w:rsidRPr="00DE1BD0" w:rsidRDefault="00DE1BD0" w:rsidP="00DE1BD0">
            <w:r w:rsidRPr="00DE1BD0">
              <w:t>NA</w:t>
            </w:r>
          </w:p>
        </w:tc>
        <w:tc>
          <w:tcPr>
            <w:tcW w:w="1870" w:type="dxa"/>
          </w:tcPr>
          <w:p w14:paraId="35562487" w14:textId="702C11A7" w:rsidR="00DE1BD0" w:rsidRPr="00DE1BD0" w:rsidRDefault="00DE1BD0" w:rsidP="00DE1BD0">
            <w:r w:rsidRPr="00DE1BD0">
              <w:t>2,633</w:t>
            </w:r>
          </w:p>
        </w:tc>
        <w:tc>
          <w:tcPr>
            <w:tcW w:w="1870" w:type="dxa"/>
          </w:tcPr>
          <w:p w14:paraId="44C42D4E" w14:textId="65AE3943" w:rsidR="00DE1BD0" w:rsidRPr="00DE1BD0" w:rsidRDefault="00DE1BD0" w:rsidP="00DE1BD0">
            <w:r w:rsidRPr="00DE1BD0">
              <w:t>388</w:t>
            </w:r>
          </w:p>
        </w:tc>
        <w:tc>
          <w:tcPr>
            <w:tcW w:w="1870" w:type="dxa"/>
          </w:tcPr>
          <w:p w14:paraId="350AD025" w14:textId="67D7BA72" w:rsidR="00DE1BD0" w:rsidRPr="00DE1BD0" w:rsidRDefault="00DE1BD0" w:rsidP="00DE1BD0">
            <w:r w:rsidRPr="00DE1BD0">
              <w:t>89.2%</w:t>
            </w:r>
          </w:p>
        </w:tc>
      </w:tr>
      <w:tr w:rsidR="00DE1BD0" w:rsidRPr="00DE1BD0" w14:paraId="4B096394" w14:textId="77777777" w:rsidTr="00DE1BD0">
        <w:tc>
          <w:tcPr>
            <w:tcW w:w="1870" w:type="dxa"/>
          </w:tcPr>
          <w:p w14:paraId="4CEE2C5D" w14:textId="423E0EAD" w:rsidR="00DE1BD0" w:rsidRPr="00DE1BD0" w:rsidRDefault="00DE1BD0" w:rsidP="00DE1BD0">
            <w:r w:rsidRPr="00DE1BD0">
              <w:t>Auto</w:t>
            </w:r>
          </w:p>
        </w:tc>
        <w:tc>
          <w:tcPr>
            <w:tcW w:w="1870" w:type="dxa"/>
          </w:tcPr>
          <w:p w14:paraId="6828CEEA" w14:textId="61C5E633" w:rsidR="00DE1BD0" w:rsidRPr="00DE1BD0" w:rsidRDefault="00DE1BD0" w:rsidP="00DE1BD0">
            <w:r w:rsidRPr="00DE1BD0">
              <w:t>LATAM</w:t>
            </w:r>
          </w:p>
        </w:tc>
        <w:tc>
          <w:tcPr>
            <w:tcW w:w="1870" w:type="dxa"/>
          </w:tcPr>
          <w:p w14:paraId="0096CCC4" w14:textId="001D2D30" w:rsidR="00DE1BD0" w:rsidRPr="00DE1BD0" w:rsidRDefault="00DE1BD0" w:rsidP="00DE1BD0">
            <w:r w:rsidRPr="00DE1BD0">
              <w:t>636</w:t>
            </w:r>
          </w:p>
        </w:tc>
        <w:tc>
          <w:tcPr>
            <w:tcW w:w="1870" w:type="dxa"/>
          </w:tcPr>
          <w:p w14:paraId="343A21F1" w14:textId="7A5B4B2C" w:rsidR="00DE1BD0" w:rsidRPr="00DE1BD0" w:rsidRDefault="00DE1BD0" w:rsidP="00DE1BD0">
            <w:r w:rsidRPr="00DE1BD0">
              <w:t>76</w:t>
            </w:r>
          </w:p>
        </w:tc>
        <w:tc>
          <w:tcPr>
            <w:tcW w:w="1870" w:type="dxa"/>
          </w:tcPr>
          <w:p w14:paraId="3534F0DF" w14:textId="1B5FD4CB" w:rsidR="00DE1BD0" w:rsidRPr="00DE1BD0" w:rsidRDefault="00DE1BD0" w:rsidP="00DE1BD0">
            <w:r w:rsidRPr="00DE1BD0">
              <w:t>90.8%</w:t>
            </w:r>
          </w:p>
        </w:tc>
      </w:tr>
      <w:tr w:rsidR="00DE1BD0" w:rsidRPr="00DE1BD0" w14:paraId="0A03C14C"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339DE3CC" w14:textId="4D1B2A32" w:rsidR="00DE1BD0" w:rsidRPr="00DE1BD0" w:rsidRDefault="00DE1BD0" w:rsidP="00DE1BD0">
            <w:r w:rsidRPr="00DE1BD0">
              <w:t>Home</w:t>
            </w:r>
          </w:p>
        </w:tc>
        <w:tc>
          <w:tcPr>
            <w:tcW w:w="1870" w:type="dxa"/>
          </w:tcPr>
          <w:p w14:paraId="4B38DBAE" w14:textId="262E92BD" w:rsidR="00DE1BD0" w:rsidRPr="00DE1BD0" w:rsidRDefault="00DE1BD0" w:rsidP="00DE1BD0">
            <w:r w:rsidRPr="00DE1BD0">
              <w:t>APAC</w:t>
            </w:r>
          </w:p>
        </w:tc>
        <w:tc>
          <w:tcPr>
            <w:tcW w:w="1870" w:type="dxa"/>
          </w:tcPr>
          <w:p w14:paraId="5F50827E" w14:textId="63C01694" w:rsidR="00DE1BD0" w:rsidRPr="00DE1BD0" w:rsidRDefault="00DE1BD0" w:rsidP="00DE1BD0">
            <w:r w:rsidRPr="00DE1BD0">
              <w:t>885</w:t>
            </w:r>
          </w:p>
        </w:tc>
        <w:tc>
          <w:tcPr>
            <w:tcW w:w="1870" w:type="dxa"/>
          </w:tcPr>
          <w:p w14:paraId="2EAB0546" w14:textId="5B2F1543" w:rsidR="00DE1BD0" w:rsidRPr="00DE1BD0" w:rsidRDefault="00DE1BD0" w:rsidP="00DE1BD0">
            <w:r w:rsidRPr="00DE1BD0">
              <w:t>100</w:t>
            </w:r>
          </w:p>
        </w:tc>
        <w:tc>
          <w:tcPr>
            <w:tcW w:w="1870" w:type="dxa"/>
          </w:tcPr>
          <w:p w14:paraId="71F61EAD" w14:textId="384FA1F4" w:rsidR="00DE1BD0" w:rsidRPr="00DE1BD0" w:rsidRDefault="00DE1BD0" w:rsidP="00DE1BD0">
            <w:r w:rsidRPr="00DE1BD0">
              <w:t>86.0%</w:t>
            </w:r>
          </w:p>
        </w:tc>
      </w:tr>
      <w:tr w:rsidR="00DE1BD0" w:rsidRPr="00DE1BD0" w14:paraId="3A025249" w14:textId="77777777" w:rsidTr="00DE1BD0">
        <w:tc>
          <w:tcPr>
            <w:tcW w:w="1870" w:type="dxa"/>
          </w:tcPr>
          <w:p w14:paraId="416041F5" w14:textId="061B9D94" w:rsidR="00DE1BD0" w:rsidRPr="00DE1BD0" w:rsidRDefault="00DE1BD0" w:rsidP="00DE1BD0">
            <w:r w:rsidRPr="00DE1BD0">
              <w:t>Home</w:t>
            </w:r>
          </w:p>
        </w:tc>
        <w:tc>
          <w:tcPr>
            <w:tcW w:w="1870" w:type="dxa"/>
          </w:tcPr>
          <w:p w14:paraId="24CF248E" w14:textId="6C78EF2F" w:rsidR="00DE1BD0" w:rsidRPr="00DE1BD0" w:rsidRDefault="00DE1BD0" w:rsidP="00DE1BD0">
            <w:r w:rsidRPr="00DE1BD0">
              <w:t>EMEA</w:t>
            </w:r>
          </w:p>
        </w:tc>
        <w:tc>
          <w:tcPr>
            <w:tcW w:w="1870" w:type="dxa"/>
          </w:tcPr>
          <w:p w14:paraId="39BA192D" w14:textId="767CD5A8" w:rsidR="00DE1BD0" w:rsidRPr="00DE1BD0" w:rsidRDefault="00DE1BD0" w:rsidP="00DE1BD0">
            <w:r w:rsidRPr="00DE1BD0">
              <w:t>1,011</w:t>
            </w:r>
          </w:p>
        </w:tc>
        <w:tc>
          <w:tcPr>
            <w:tcW w:w="1870" w:type="dxa"/>
          </w:tcPr>
          <w:p w14:paraId="3364B907" w14:textId="2E1D8A57" w:rsidR="00DE1BD0" w:rsidRPr="00DE1BD0" w:rsidRDefault="00DE1BD0" w:rsidP="00DE1BD0">
            <w:r w:rsidRPr="00DE1BD0">
              <w:t>114</w:t>
            </w:r>
          </w:p>
        </w:tc>
        <w:tc>
          <w:tcPr>
            <w:tcW w:w="1870" w:type="dxa"/>
          </w:tcPr>
          <w:p w14:paraId="3A1B07AD" w14:textId="3E50EC45" w:rsidR="00DE1BD0" w:rsidRPr="00DE1BD0" w:rsidRDefault="00DE1BD0" w:rsidP="00DE1BD0">
            <w:r w:rsidRPr="00DE1BD0">
              <w:t>87.1%</w:t>
            </w:r>
          </w:p>
        </w:tc>
      </w:tr>
      <w:tr w:rsidR="00DE1BD0" w:rsidRPr="00DE1BD0" w14:paraId="5BCB8D7C"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29AF79C5" w14:textId="2AFFB96C" w:rsidR="00DE1BD0" w:rsidRPr="00DE1BD0" w:rsidRDefault="00DE1BD0" w:rsidP="00DE1BD0">
            <w:r w:rsidRPr="00DE1BD0">
              <w:t>Home</w:t>
            </w:r>
          </w:p>
        </w:tc>
        <w:tc>
          <w:tcPr>
            <w:tcW w:w="1870" w:type="dxa"/>
          </w:tcPr>
          <w:p w14:paraId="4BDF52C2" w14:textId="2F7922E0" w:rsidR="00DE1BD0" w:rsidRPr="00DE1BD0" w:rsidRDefault="00DE1BD0" w:rsidP="00DE1BD0">
            <w:r w:rsidRPr="00DE1BD0">
              <w:t>NA</w:t>
            </w:r>
          </w:p>
        </w:tc>
        <w:tc>
          <w:tcPr>
            <w:tcW w:w="1870" w:type="dxa"/>
          </w:tcPr>
          <w:p w14:paraId="5176AE4C" w14:textId="553BBF85" w:rsidR="00DE1BD0" w:rsidRPr="00DE1BD0" w:rsidRDefault="00DE1BD0" w:rsidP="00DE1BD0">
            <w:r w:rsidRPr="00DE1BD0">
              <w:t>1,883</w:t>
            </w:r>
          </w:p>
        </w:tc>
        <w:tc>
          <w:tcPr>
            <w:tcW w:w="1870" w:type="dxa"/>
          </w:tcPr>
          <w:p w14:paraId="510980EF" w14:textId="702F2A7A" w:rsidR="00DE1BD0" w:rsidRPr="00DE1BD0" w:rsidRDefault="00DE1BD0" w:rsidP="00DE1BD0">
            <w:r w:rsidRPr="00DE1BD0">
              <w:t>201</w:t>
            </w:r>
          </w:p>
        </w:tc>
        <w:tc>
          <w:tcPr>
            <w:tcW w:w="1870" w:type="dxa"/>
          </w:tcPr>
          <w:p w14:paraId="74A43D2B" w14:textId="5C7D905E" w:rsidR="00DE1BD0" w:rsidRPr="00DE1BD0" w:rsidRDefault="00DE1BD0" w:rsidP="00DE1BD0">
            <w:r w:rsidRPr="00DE1BD0">
              <w:t>87.8%</w:t>
            </w:r>
          </w:p>
        </w:tc>
      </w:tr>
      <w:tr w:rsidR="00DE1BD0" w:rsidRPr="00DE1BD0" w14:paraId="1B95B705" w14:textId="77777777" w:rsidTr="00DE1BD0">
        <w:tc>
          <w:tcPr>
            <w:tcW w:w="1870" w:type="dxa"/>
          </w:tcPr>
          <w:p w14:paraId="12AD8B5F" w14:textId="599B0DC3" w:rsidR="00DE1BD0" w:rsidRPr="00DE1BD0" w:rsidRDefault="00DE1BD0" w:rsidP="00DE1BD0">
            <w:r w:rsidRPr="00DE1BD0">
              <w:t>Home</w:t>
            </w:r>
          </w:p>
        </w:tc>
        <w:tc>
          <w:tcPr>
            <w:tcW w:w="1870" w:type="dxa"/>
          </w:tcPr>
          <w:p w14:paraId="26C8767B" w14:textId="2C6BCE9A" w:rsidR="00DE1BD0" w:rsidRPr="00DE1BD0" w:rsidRDefault="00DE1BD0" w:rsidP="00DE1BD0">
            <w:r w:rsidRPr="00DE1BD0">
              <w:t>LATAM</w:t>
            </w:r>
          </w:p>
        </w:tc>
        <w:tc>
          <w:tcPr>
            <w:tcW w:w="1870" w:type="dxa"/>
          </w:tcPr>
          <w:p w14:paraId="737624A6" w14:textId="3EE1BED7" w:rsidR="00DE1BD0" w:rsidRPr="00DE1BD0" w:rsidRDefault="00DE1BD0" w:rsidP="00DE1BD0">
            <w:r w:rsidRPr="00DE1BD0">
              <w:t>388</w:t>
            </w:r>
          </w:p>
        </w:tc>
        <w:tc>
          <w:tcPr>
            <w:tcW w:w="1870" w:type="dxa"/>
          </w:tcPr>
          <w:p w14:paraId="1668D796" w14:textId="75631039" w:rsidR="00DE1BD0" w:rsidRPr="00DE1BD0" w:rsidRDefault="00DE1BD0" w:rsidP="00DE1BD0">
            <w:r w:rsidRPr="00DE1BD0">
              <w:t>51</w:t>
            </w:r>
          </w:p>
        </w:tc>
        <w:tc>
          <w:tcPr>
            <w:tcW w:w="1870" w:type="dxa"/>
          </w:tcPr>
          <w:p w14:paraId="4F2362E4" w14:textId="74725DE7" w:rsidR="00DE1BD0" w:rsidRPr="00DE1BD0" w:rsidRDefault="00DE1BD0" w:rsidP="00DE1BD0">
            <w:r w:rsidRPr="00DE1BD0">
              <w:t>89.1%</w:t>
            </w:r>
          </w:p>
        </w:tc>
      </w:tr>
      <w:tr w:rsidR="00DE1BD0" w:rsidRPr="00DE1BD0" w14:paraId="48DEF746"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7A20269E" w14:textId="2CC1121F" w:rsidR="00DE1BD0" w:rsidRPr="00DE1BD0" w:rsidRDefault="00DE1BD0" w:rsidP="00DE1BD0">
            <w:r w:rsidRPr="00DE1BD0">
              <w:t>Small Business</w:t>
            </w:r>
          </w:p>
        </w:tc>
        <w:tc>
          <w:tcPr>
            <w:tcW w:w="1870" w:type="dxa"/>
          </w:tcPr>
          <w:p w14:paraId="3E7676A8" w14:textId="05E0F300" w:rsidR="00DE1BD0" w:rsidRPr="00DE1BD0" w:rsidRDefault="00DE1BD0" w:rsidP="00DE1BD0">
            <w:r w:rsidRPr="00DE1BD0">
              <w:t>APAC</w:t>
            </w:r>
          </w:p>
        </w:tc>
        <w:tc>
          <w:tcPr>
            <w:tcW w:w="1870" w:type="dxa"/>
          </w:tcPr>
          <w:p w14:paraId="61B2DD3A" w14:textId="21D70245" w:rsidR="00DE1BD0" w:rsidRPr="00DE1BD0" w:rsidRDefault="00DE1BD0" w:rsidP="00DE1BD0">
            <w:r w:rsidRPr="00DE1BD0">
              <w:t>512</w:t>
            </w:r>
          </w:p>
        </w:tc>
        <w:tc>
          <w:tcPr>
            <w:tcW w:w="1870" w:type="dxa"/>
          </w:tcPr>
          <w:p w14:paraId="25DDDDE0" w14:textId="507EDE8B" w:rsidR="00DE1BD0" w:rsidRPr="00DE1BD0" w:rsidRDefault="00DE1BD0" w:rsidP="00DE1BD0">
            <w:r w:rsidRPr="00DE1BD0">
              <w:t>63</w:t>
            </w:r>
          </w:p>
        </w:tc>
        <w:tc>
          <w:tcPr>
            <w:tcW w:w="1870" w:type="dxa"/>
          </w:tcPr>
          <w:p w14:paraId="4B95B21E" w14:textId="2E2C4D4B" w:rsidR="00DE1BD0" w:rsidRPr="00DE1BD0" w:rsidRDefault="00DE1BD0" w:rsidP="00DE1BD0">
            <w:r w:rsidRPr="00DE1BD0">
              <w:t>85.4%</w:t>
            </w:r>
          </w:p>
        </w:tc>
      </w:tr>
      <w:tr w:rsidR="00DE1BD0" w:rsidRPr="00DE1BD0" w14:paraId="422A9940" w14:textId="77777777" w:rsidTr="00DE1BD0">
        <w:tc>
          <w:tcPr>
            <w:tcW w:w="1870" w:type="dxa"/>
          </w:tcPr>
          <w:p w14:paraId="2502D40D" w14:textId="774615BF" w:rsidR="00DE1BD0" w:rsidRPr="00DE1BD0" w:rsidRDefault="00DE1BD0" w:rsidP="00DE1BD0">
            <w:r w:rsidRPr="00DE1BD0">
              <w:t>Small Business</w:t>
            </w:r>
          </w:p>
        </w:tc>
        <w:tc>
          <w:tcPr>
            <w:tcW w:w="1870" w:type="dxa"/>
          </w:tcPr>
          <w:p w14:paraId="788DD02F" w14:textId="56BD36FF" w:rsidR="00DE1BD0" w:rsidRPr="00DE1BD0" w:rsidRDefault="00DE1BD0" w:rsidP="00DE1BD0">
            <w:r w:rsidRPr="00DE1BD0">
              <w:t>EMEA</w:t>
            </w:r>
          </w:p>
        </w:tc>
        <w:tc>
          <w:tcPr>
            <w:tcW w:w="1870" w:type="dxa"/>
          </w:tcPr>
          <w:p w14:paraId="737896A1" w14:textId="33F3C328" w:rsidR="00DE1BD0" w:rsidRPr="00DE1BD0" w:rsidRDefault="00DE1BD0" w:rsidP="00DE1BD0">
            <w:r w:rsidRPr="00DE1BD0">
              <w:t>636</w:t>
            </w:r>
          </w:p>
        </w:tc>
        <w:tc>
          <w:tcPr>
            <w:tcW w:w="1870" w:type="dxa"/>
          </w:tcPr>
          <w:p w14:paraId="74378C8E" w14:textId="2992AC4D" w:rsidR="00DE1BD0" w:rsidRPr="00DE1BD0" w:rsidRDefault="00DE1BD0" w:rsidP="00DE1BD0">
            <w:r w:rsidRPr="00DE1BD0">
              <w:t>76</w:t>
            </w:r>
          </w:p>
        </w:tc>
        <w:tc>
          <w:tcPr>
            <w:tcW w:w="1870" w:type="dxa"/>
          </w:tcPr>
          <w:p w14:paraId="12181D59" w14:textId="7AE8C67C" w:rsidR="00DE1BD0" w:rsidRPr="00DE1BD0" w:rsidRDefault="00DE1BD0" w:rsidP="00DE1BD0">
            <w:r w:rsidRPr="00DE1BD0">
              <w:t>86.5%</w:t>
            </w:r>
          </w:p>
        </w:tc>
      </w:tr>
      <w:tr w:rsidR="00DE1BD0" w:rsidRPr="00DE1BD0" w14:paraId="40C59BCF"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6BA819E5" w14:textId="77F7220C" w:rsidR="00DE1BD0" w:rsidRPr="00DE1BD0" w:rsidRDefault="00DE1BD0" w:rsidP="00DE1BD0">
            <w:r w:rsidRPr="00DE1BD0">
              <w:t>Small Business</w:t>
            </w:r>
          </w:p>
        </w:tc>
        <w:tc>
          <w:tcPr>
            <w:tcW w:w="1870" w:type="dxa"/>
          </w:tcPr>
          <w:p w14:paraId="2AF647D3" w14:textId="5EE21BFF" w:rsidR="00DE1BD0" w:rsidRPr="00DE1BD0" w:rsidRDefault="00DE1BD0" w:rsidP="00DE1BD0">
            <w:r w:rsidRPr="00DE1BD0">
              <w:t>NA</w:t>
            </w:r>
          </w:p>
        </w:tc>
        <w:tc>
          <w:tcPr>
            <w:tcW w:w="1870" w:type="dxa"/>
          </w:tcPr>
          <w:p w14:paraId="452E3734" w14:textId="2358E65F" w:rsidR="00DE1BD0" w:rsidRPr="00DE1BD0" w:rsidRDefault="00DE1BD0" w:rsidP="00DE1BD0">
            <w:r w:rsidRPr="00DE1BD0">
              <w:t>1,385</w:t>
            </w:r>
          </w:p>
        </w:tc>
        <w:tc>
          <w:tcPr>
            <w:tcW w:w="1870" w:type="dxa"/>
          </w:tcPr>
          <w:p w14:paraId="19089FA8" w14:textId="248A9119" w:rsidR="00DE1BD0" w:rsidRPr="00DE1BD0" w:rsidRDefault="00DE1BD0" w:rsidP="00DE1BD0">
            <w:r w:rsidRPr="00DE1BD0">
              <w:t>151</w:t>
            </w:r>
          </w:p>
        </w:tc>
        <w:tc>
          <w:tcPr>
            <w:tcW w:w="1870" w:type="dxa"/>
          </w:tcPr>
          <w:p w14:paraId="7AE1BABB" w14:textId="72ED239A" w:rsidR="00DE1BD0" w:rsidRPr="00DE1BD0" w:rsidRDefault="00DE1BD0" w:rsidP="00DE1BD0">
            <w:r w:rsidRPr="00DE1BD0">
              <w:t>87.0%</w:t>
            </w:r>
          </w:p>
        </w:tc>
      </w:tr>
      <w:tr w:rsidR="00DE1BD0" w:rsidRPr="00DE1BD0" w14:paraId="6DBA3587" w14:textId="77777777" w:rsidTr="00DE1BD0">
        <w:tc>
          <w:tcPr>
            <w:tcW w:w="1870" w:type="dxa"/>
          </w:tcPr>
          <w:p w14:paraId="50EF1BF7" w14:textId="1BA478CD" w:rsidR="00DE1BD0" w:rsidRPr="00DE1BD0" w:rsidRDefault="00DE1BD0" w:rsidP="00DE1BD0">
            <w:r w:rsidRPr="00DE1BD0">
              <w:t>Small Business</w:t>
            </w:r>
          </w:p>
        </w:tc>
        <w:tc>
          <w:tcPr>
            <w:tcW w:w="1870" w:type="dxa"/>
          </w:tcPr>
          <w:p w14:paraId="0010A54E" w14:textId="0FBB1496" w:rsidR="00DE1BD0" w:rsidRPr="00DE1BD0" w:rsidRDefault="00DE1BD0" w:rsidP="00DE1BD0">
            <w:r w:rsidRPr="00DE1BD0">
              <w:t>LATAM</w:t>
            </w:r>
          </w:p>
        </w:tc>
        <w:tc>
          <w:tcPr>
            <w:tcW w:w="1870" w:type="dxa"/>
          </w:tcPr>
          <w:p w14:paraId="19A25B42" w14:textId="1711763E" w:rsidR="00DE1BD0" w:rsidRPr="00DE1BD0" w:rsidRDefault="00DE1BD0" w:rsidP="00DE1BD0">
            <w:r w:rsidRPr="00DE1BD0">
              <w:t>263</w:t>
            </w:r>
          </w:p>
        </w:tc>
        <w:tc>
          <w:tcPr>
            <w:tcW w:w="1870" w:type="dxa"/>
          </w:tcPr>
          <w:p w14:paraId="0493B61E" w14:textId="13F1E166" w:rsidR="00DE1BD0" w:rsidRPr="00DE1BD0" w:rsidRDefault="00DE1BD0" w:rsidP="00DE1BD0">
            <w:r w:rsidRPr="00DE1BD0">
              <w:t>38</w:t>
            </w:r>
          </w:p>
        </w:tc>
        <w:tc>
          <w:tcPr>
            <w:tcW w:w="1870" w:type="dxa"/>
          </w:tcPr>
          <w:p w14:paraId="31BE5471" w14:textId="4160B45C" w:rsidR="00DE1BD0" w:rsidRPr="00DE1BD0" w:rsidRDefault="00DE1BD0" w:rsidP="00DE1BD0">
            <w:r w:rsidRPr="00DE1BD0">
              <w:t>88.1%</w:t>
            </w:r>
          </w:p>
        </w:tc>
      </w:tr>
      <w:tr w:rsidR="00DE1BD0" w:rsidRPr="00DE1BD0" w14:paraId="3412142F"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078F1899" w14:textId="349D1821" w:rsidR="00DE1BD0" w:rsidRPr="00DE1BD0" w:rsidRDefault="00DE1BD0" w:rsidP="00DE1BD0">
            <w:r w:rsidRPr="00DE1BD0">
              <w:t>Specialty Insurance</w:t>
            </w:r>
          </w:p>
        </w:tc>
        <w:tc>
          <w:tcPr>
            <w:tcW w:w="1870" w:type="dxa"/>
          </w:tcPr>
          <w:p w14:paraId="17AF480D" w14:textId="09B387A7" w:rsidR="00DE1BD0" w:rsidRPr="00DE1BD0" w:rsidRDefault="00DE1BD0" w:rsidP="00DE1BD0">
            <w:r w:rsidRPr="00DE1BD0">
              <w:t>APAC</w:t>
            </w:r>
          </w:p>
        </w:tc>
        <w:tc>
          <w:tcPr>
            <w:tcW w:w="1870" w:type="dxa"/>
          </w:tcPr>
          <w:p w14:paraId="3A6BE37B" w14:textId="4767C717" w:rsidR="00DE1BD0" w:rsidRPr="00DE1BD0" w:rsidRDefault="00DE1BD0" w:rsidP="00DE1BD0">
            <w:r w:rsidRPr="00DE1BD0">
              <w:t>388</w:t>
            </w:r>
          </w:p>
        </w:tc>
        <w:tc>
          <w:tcPr>
            <w:tcW w:w="1870" w:type="dxa"/>
          </w:tcPr>
          <w:p w14:paraId="5802A778" w14:textId="734DAABF" w:rsidR="00DE1BD0" w:rsidRPr="00DE1BD0" w:rsidRDefault="00DE1BD0" w:rsidP="00DE1BD0">
            <w:r w:rsidRPr="00DE1BD0">
              <w:t>51</w:t>
            </w:r>
          </w:p>
        </w:tc>
        <w:tc>
          <w:tcPr>
            <w:tcW w:w="1870" w:type="dxa"/>
          </w:tcPr>
          <w:p w14:paraId="78DF92DD" w14:textId="059C6916" w:rsidR="00DE1BD0" w:rsidRPr="00DE1BD0" w:rsidRDefault="00DE1BD0" w:rsidP="00DE1BD0">
            <w:r w:rsidRPr="00DE1BD0">
              <w:t>84.5%</w:t>
            </w:r>
          </w:p>
        </w:tc>
      </w:tr>
      <w:tr w:rsidR="00DE1BD0" w:rsidRPr="00DE1BD0" w14:paraId="3434583E" w14:textId="77777777" w:rsidTr="00DE1BD0">
        <w:tc>
          <w:tcPr>
            <w:tcW w:w="1870" w:type="dxa"/>
          </w:tcPr>
          <w:p w14:paraId="2709B0D6" w14:textId="572A1970" w:rsidR="00DE1BD0" w:rsidRPr="00DE1BD0" w:rsidRDefault="00DE1BD0" w:rsidP="00DE1BD0">
            <w:r w:rsidRPr="00DE1BD0">
              <w:t>Specialty Insurance</w:t>
            </w:r>
          </w:p>
        </w:tc>
        <w:tc>
          <w:tcPr>
            <w:tcW w:w="1870" w:type="dxa"/>
          </w:tcPr>
          <w:p w14:paraId="39D1C0C2" w14:textId="051ED281" w:rsidR="00DE1BD0" w:rsidRPr="00DE1BD0" w:rsidRDefault="00DE1BD0" w:rsidP="00DE1BD0">
            <w:r w:rsidRPr="00DE1BD0">
              <w:t>EMEA</w:t>
            </w:r>
          </w:p>
        </w:tc>
        <w:tc>
          <w:tcPr>
            <w:tcW w:w="1870" w:type="dxa"/>
          </w:tcPr>
          <w:p w14:paraId="3EDCA31A" w14:textId="0A7E5929" w:rsidR="00DE1BD0" w:rsidRPr="00DE1BD0" w:rsidRDefault="00DE1BD0" w:rsidP="00DE1BD0">
            <w:r w:rsidRPr="00DE1BD0">
              <w:t>512</w:t>
            </w:r>
          </w:p>
        </w:tc>
        <w:tc>
          <w:tcPr>
            <w:tcW w:w="1870" w:type="dxa"/>
          </w:tcPr>
          <w:p w14:paraId="3169E102" w14:textId="2C2F3983" w:rsidR="00DE1BD0" w:rsidRPr="00DE1BD0" w:rsidRDefault="00DE1BD0" w:rsidP="00DE1BD0">
            <w:r w:rsidRPr="00DE1BD0">
              <w:t>63</w:t>
            </w:r>
          </w:p>
        </w:tc>
        <w:tc>
          <w:tcPr>
            <w:tcW w:w="1870" w:type="dxa"/>
          </w:tcPr>
          <w:p w14:paraId="45E9C4EB" w14:textId="2ABE123C" w:rsidR="00DE1BD0" w:rsidRPr="00DE1BD0" w:rsidRDefault="00DE1BD0" w:rsidP="00DE1BD0">
            <w:r w:rsidRPr="00DE1BD0">
              <w:t>85.1%</w:t>
            </w:r>
          </w:p>
        </w:tc>
      </w:tr>
      <w:tr w:rsidR="00DE1BD0" w:rsidRPr="00DE1BD0" w14:paraId="7A3D21BC"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684D8940" w14:textId="16441E9A" w:rsidR="00DE1BD0" w:rsidRPr="00DE1BD0" w:rsidRDefault="00DE1BD0" w:rsidP="00DE1BD0">
            <w:r w:rsidRPr="00DE1BD0">
              <w:lastRenderedPageBreak/>
              <w:t>Specialty Insurance</w:t>
            </w:r>
          </w:p>
        </w:tc>
        <w:tc>
          <w:tcPr>
            <w:tcW w:w="1870" w:type="dxa"/>
          </w:tcPr>
          <w:p w14:paraId="01973E09" w14:textId="4E56A807" w:rsidR="00DE1BD0" w:rsidRPr="00DE1BD0" w:rsidRDefault="00DE1BD0" w:rsidP="00DE1BD0">
            <w:r w:rsidRPr="00DE1BD0">
              <w:t>NA</w:t>
            </w:r>
          </w:p>
        </w:tc>
        <w:tc>
          <w:tcPr>
            <w:tcW w:w="1870" w:type="dxa"/>
          </w:tcPr>
          <w:p w14:paraId="22339452" w14:textId="6D78E337" w:rsidR="00DE1BD0" w:rsidRPr="00DE1BD0" w:rsidRDefault="00DE1BD0" w:rsidP="00DE1BD0">
            <w:r w:rsidRPr="00DE1BD0">
              <w:t>885</w:t>
            </w:r>
          </w:p>
        </w:tc>
        <w:tc>
          <w:tcPr>
            <w:tcW w:w="1870" w:type="dxa"/>
          </w:tcPr>
          <w:p w14:paraId="2FCDD858" w14:textId="51B1AA8B" w:rsidR="00DE1BD0" w:rsidRPr="00DE1BD0" w:rsidRDefault="00DE1BD0" w:rsidP="00DE1BD0">
            <w:r w:rsidRPr="00DE1BD0">
              <w:t>100</w:t>
            </w:r>
          </w:p>
        </w:tc>
        <w:tc>
          <w:tcPr>
            <w:tcW w:w="1870" w:type="dxa"/>
          </w:tcPr>
          <w:p w14:paraId="06F1830C" w14:textId="27E87030" w:rsidR="00DE1BD0" w:rsidRPr="00DE1BD0" w:rsidRDefault="00DE1BD0" w:rsidP="00DE1BD0">
            <w:r w:rsidRPr="00DE1BD0">
              <w:t>85.9%</w:t>
            </w:r>
          </w:p>
        </w:tc>
      </w:tr>
      <w:tr w:rsidR="00DE1BD0" w:rsidRPr="00DE1BD0" w14:paraId="2592E166" w14:textId="77777777" w:rsidTr="00DE1BD0">
        <w:tc>
          <w:tcPr>
            <w:tcW w:w="1870" w:type="dxa"/>
          </w:tcPr>
          <w:p w14:paraId="435AFECE" w14:textId="0EDDCFB6" w:rsidR="00DE1BD0" w:rsidRPr="00DE1BD0" w:rsidRDefault="00DE1BD0" w:rsidP="00DE1BD0">
            <w:r w:rsidRPr="00DE1BD0">
              <w:t>Specialty Insurance</w:t>
            </w:r>
          </w:p>
        </w:tc>
        <w:tc>
          <w:tcPr>
            <w:tcW w:w="1870" w:type="dxa"/>
          </w:tcPr>
          <w:p w14:paraId="14EE03D9" w14:textId="6E7641CC" w:rsidR="00DE1BD0" w:rsidRPr="00DE1BD0" w:rsidRDefault="00DE1BD0" w:rsidP="00DE1BD0">
            <w:r w:rsidRPr="00DE1BD0">
              <w:t>LATAM</w:t>
            </w:r>
          </w:p>
        </w:tc>
        <w:tc>
          <w:tcPr>
            <w:tcW w:w="1870" w:type="dxa"/>
          </w:tcPr>
          <w:p w14:paraId="0A165B9A" w14:textId="49C7104B" w:rsidR="00DE1BD0" w:rsidRPr="00DE1BD0" w:rsidRDefault="00DE1BD0" w:rsidP="00DE1BD0">
            <w:r w:rsidRPr="00DE1BD0">
              <w:t>138</w:t>
            </w:r>
          </w:p>
        </w:tc>
        <w:tc>
          <w:tcPr>
            <w:tcW w:w="1870" w:type="dxa"/>
          </w:tcPr>
          <w:p w14:paraId="16C4C62A" w14:textId="74C8D759" w:rsidR="00DE1BD0" w:rsidRPr="00DE1BD0" w:rsidRDefault="00DE1BD0" w:rsidP="00DE1BD0">
            <w:r w:rsidRPr="00DE1BD0">
              <w:t>26</w:t>
            </w:r>
          </w:p>
        </w:tc>
        <w:tc>
          <w:tcPr>
            <w:tcW w:w="1870" w:type="dxa"/>
          </w:tcPr>
          <w:p w14:paraId="15F2FAF9" w14:textId="57FA63D2" w:rsidR="00DE1BD0" w:rsidRPr="00DE1BD0" w:rsidRDefault="00DE1BD0" w:rsidP="00DE1BD0">
            <w:r w:rsidRPr="00DE1BD0">
              <w:t>87.5%</w:t>
            </w:r>
          </w:p>
        </w:tc>
      </w:tr>
      <w:tr w:rsidR="00DE1BD0" w:rsidRPr="00DE1BD0" w14:paraId="3AC27F4A"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0D8F33D8" w14:textId="529A0722" w:rsidR="00DE1BD0" w:rsidRPr="00DE1BD0" w:rsidRDefault="00DE1BD0" w:rsidP="00DE1BD0">
            <w:r w:rsidRPr="00DE1BD0">
              <w:t>Investments</w:t>
            </w:r>
          </w:p>
        </w:tc>
        <w:tc>
          <w:tcPr>
            <w:tcW w:w="1870" w:type="dxa"/>
          </w:tcPr>
          <w:p w14:paraId="49C4B019" w14:textId="7A10879A" w:rsidR="00DE1BD0" w:rsidRPr="00DE1BD0" w:rsidRDefault="00DE1BD0" w:rsidP="00DE1BD0">
            <w:r w:rsidRPr="00DE1BD0">
              <w:t>APAC</w:t>
            </w:r>
          </w:p>
        </w:tc>
        <w:tc>
          <w:tcPr>
            <w:tcW w:w="1870" w:type="dxa"/>
          </w:tcPr>
          <w:p w14:paraId="19A485A0" w14:textId="672F207F" w:rsidR="00DE1BD0" w:rsidRPr="00DE1BD0" w:rsidRDefault="00DE1BD0" w:rsidP="00DE1BD0">
            <w:r w:rsidRPr="00DE1BD0">
              <w:t>636</w:t>
            </w:r>
          </w:p>
        </w:tc>
        <w:tc>
          <w:tcPr>
            <w:tcW w:w="1870" w:type="dxa"/>
          </w:tcPr>
          <w:p w14:paraId="57A71D18" w14:textId="15FE843A" w:rsidR="00DE1BD0" w:rsidRPr="00DE1BD0" w:rsidRDefault="00DE1BD0" w:rsidP="00DE1BD0">
            <w:r w:rsidRPr="00DE1BD0">
              <w:t>76</w:t>
            </w:r>
          </w:p>
        </w:tc>
        <w:tc>
          <w:tcPr>
            <w:tcW w:w="1870" w:type="dxa"/>
          </w:tcPr>
          <w:p w14:paraId="411416FB" w14:textId="6023619C" w:rsidR="00DE1BD0" w:rsidRPr="00DE1BD0" w:rsidRDefault="00DE1BD0" w:rsidP="00DE1BD0">
            <w:r w:rsidRPr="00DE1BD0">
              <w:t>N/A</w:t>
            </w:r>
          </w:p>
        </w:tc>
      </w:tr>
      <w:tr w:rsidR="00DE1BD0" w:rsidRPr="00DE1BD0" w14:paraId="3D9B2E53" w14:textId="77777777" w:rsidTr="00DE1BD0">
        <w:tc>
          <w:tcPr>
            <w:tcW w:w="1870" w:type="dxa"/>
          </w:tcPr>
          <w:p w14:paraId="00581D63" w14:textId="054CF08F" w:rsidR="00DE1BD0" w:rsidRPr="00DE1BD0" w:rsidRDefault="00DE1BD0" w:rsidP="00DE1BD0">
            <w:r w:rsidRPr="00DE1BD0">
              <w:t>Investments</w:t>
            </w:r>
          </w:p>
        </w:tc>
        <w:tc>
          <w:tcPr>
            <w:tcW w:w="1870" w:type="dxa"/>
          </w:tcPr>
          <w:p w14:paraId="4F6BFCA3" w14:textId="73B55F95" w:rsidR="00DE1BD0" w:rsidRPr="00DE1BD0" w:rsidRDefault="00DE1BD0" w:rsidP="00DE1BD0">
            <w:r w:rsidRPr="00DE1BD0">
              <w:t>EMEA</w:t>
            </w:r>
          </w:p>
        </w:tc>
        <w:tc>
          <w:tcPr>
            <w:tcW w:w="1870" w:type="dxa"/>
          </w:tcPr>
          <w:p w14:paraId="7CC7D05B" w14:textId="1020DBD5" w:rsidR="00DE1BD0" w:rsidRPr="00DE1BD0" w:rsidRDefault="00DE1BD0" w:rsidP="00DE1BD0">
            <w:r w:rsidRPr="00DE1BD0">
              <w:t>761</w:t>
            </w:r>
          </w:p>
        </w:tc>
        <w:tc>
          <w:tcPr>
            <w:tcW w:w="1870" w:type="dxa"/>
          </w:tcPr>
          <w:p w14:paraId="189124CD" w14:textId="579E21DD" w:rsidR="00DE1BD0" w:rsidRPr="00DE1BD0" w:rsidRDefault="00DE1BD0" w:rsidP="00DE1BD0">
            <w:r w:rsidRPr="00DE1BD0">
              <w:t>88</w:t>
            </w:r>
          </w:p>
        </w:tc>
        <w:tc>
          <w:tcPr>
            <w:tcW w:w="1870" w:type="dxa"/>
          </w:tcPr>
          <w:p w14:paraId="133D9C20" w14:textId="688610EC" w:rsidR="00DE1BD0" w:rsidRPr="00DE1BD0" w:rsidRDefault="00DE1BD0" w:rsidP="00DE1BD0">
            <w:r w:rsidRPr="00DE1BD0">
              <w:t>N/A</w:t>
            </w:r>
          </w:p>
        </w:tc>
      </w:tr>
      <w:tr w:rsidR="00DE1BD0" w:rsidRPr="00DE1BD0" w14:paraId="78652CCE"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63858390" w14:textId="5C74C3A9" w:rsidR="00DE1BD0" w:rsidRPr="00DE1BD0" w:rsidRDefault="00DE1BD0" w:rsidP="00DE1BD0">
            <w:r w:rsidRPr="00DE1BD0">
              <w:t>Investments</w:t>
            </w:r>
          </w:p>
        </w:tc>
        <w:tc>
          <w:tcPr>
            <w:tcW w:w="1870" w:type="dxa"/>
          </w:tcPr>
          <w:p w14:paraId="14150CB9" w14:textId="068308BC" w:rsidR="00DE1BD0" w:rsidRPr="00DE1BD0" w:rsidRDefault="00DE1BD0" w:rsidP="00DE1BD0">
            <w:r w:rsidRPr="00DE1BD0">
              <w:t>NA</w:t>
            </w:r>
          </w:p>
        </w:tc>
        <w:tc>
          <w:tcPr>
            <w:tcW w:w="1870" w:type="dxa"/>
          </w:tcPr>
          <w:p w14:paraId="0695CDC8" w14:textId="6BF2BBB5" w:rsidR="00DE1BD0" w:rsidRPr="00DE1BD0" w:rsidRDefault="00DE1BD0" w:rsidP="00DE1BD0">
            <w:r w:rsidRPr="00DE1BD0">
              <w:t>1,385</w:t>
            </w:r>
          </w:p>
        </w:tc>
        <w:tc>
          <w:tcPr>
            <w:tcW w:w="1870" w:type="dxa"/>
          </w:tcPr>
          <w:p w14:paraId="3C042A74" w14:textId="5A17FD6C" w:rsidR="00DE1BD0" w:rsidRPr="00DE1BD0" w:rsidRDefault="00DE1BD0" w:rsidP="00DE1BD0">
            <w:r w:rsidRPr="00DE1BD0">
              <w:t>151</w:t>
            </w:r>
          </w:p>
        </w:tc>
        <w:tc>
          <w:tcPr>
            <w:tcW w:w="1870" w:type="dxa"/>
          </w:tcPr>
          <w:p w14:paraId="06DD71D8" w14:textId="6561FD03" w:rsidR="00DE1BD0" w:rsidRPr="00DE1BD0" w:rsidRDefault="00DE1BD0" w:rsidP="00DE1BD0">
            <w:r w:rsidRPr="00DE1BD0">
              <w:t>N/A</w:t>
            </w:r>
          </w:p>
        </w:tc>
      </w:tr>
      <w:tr w:rsidR="00DE1BD0" w:rsidRPr="00DE1BD0" w14:paraId="386EC58E" w14:textId="77777777" w:rsidTr="00DE1BD0">
        <w:tc>
          <w:tcPr>
            <w:tcW w:w="1870" w:type="dxa"/>
          </w:tcPr>
          <w:p w14:paraId="391DB5B6" w14:textId="0C9DA77D" w:rsidR="00DE1BD0" w:rsidRPr="00DE1BD0" w:rsidRDefault="00DE1BD0" w:rsidP="00DE1BD0">
            <w:r w:rsidRPr="00DE1BD0">
              <w:t>Investments</w:t>
            </w:r>
          </w:p>
        </w:tc>
        <w:tc>
          <w:tcPr>
            <w:tcW w:w="1870" w:type="dxa"/>
          </w:tcPr>
          <w:p w14:paraId="43D0CB9A" w14:textId="172F2427" w:rsidR="00DE1BD0" w:rsidRPr="00DE1BD0" w:rsidRDefault="00DE1BD0" w:rsidP="00DE1BD0">
            <w:r w:rsidRPr="00DE1BD0">
              <w:t>LATAM</w:t>
            </w:r>
          </w:p>
        </w:tc>
        <w:tc>
          <w:tcPr>
            <w:tcW w:w="1870" w:type="dxa"/>
          </w:tcPr>
          <w:p w14:paraId="3C1FAD89" w14:textId="068AB96C" w:rsidR="00DE1BD0" w:rsidRPr="00DE1BD0" w:rsidRDefault="00DE1BD0" w:rsidP="00DE1BD0">
            <w:r w:rsidRPr="00DE1BD0">
              <w:t>263</w:t>
            </w:r>
          </w:p>
        </w:tc>
        <w:tc>
          <w:tcPr>
            <w:tcW w:w="1870" w:type="dxa"/>
          </w:tcPr>
          <w:p w14:paraId="26512B66" w14:textId="12F82221" w:rsidR="00DE1BD0" w:rsidRPr="00DE1BD0" w:rsidRDefault="00DE1BD0" w:rsidP="00DE1BD0">
            <w:r w:rsidRPr="00DE1BD0">
              <w:t>38</w:t>
            </w:r>
          </w:p>
        </w:tc>
        <w:tc>
          <w:tcPr>
            <w:tcW w:w="1870" w:type="dxa"/>
          </w:tcPr>
          <w:p w14:paraId="12FABE9A" w14:textId="544200D0" w:rsidR="00DE1BD0" w:rsidRPr="00DE1BD0" w:rsidRDefault="00DE1BD0" w:rsidP="00DE1BD0">
            <w:r w:rsidRPr="00DE1BD0">
              <w:t>N/A</w:t>
            </w:r>
          </w:p>
        </w:tc>
      </w:tr>
      <w:tr w:rsidR="00DE1BD0" w:rsidRPr="00DE1BD0" w14:paraId="742701DE"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07D44C21" w14:textId="177F8801" w:rsidR="00DE1BD0" w:rsidRPr="00DE1BD0" w:rsidRDefault="00DE1BD0" w:rsidP="00DE1BD0">
            <w:r w:rsidRPr="00DE1BD0">
              <w:t>Life Insurance</w:t>
            </w:r>
          </w:p>
        </w:tc>
        <w:tc>
          <w:tcPr>
            <w:tcW w:w="1870" w:type="dxa"/>
          </w:tcPr>
          <w:p w14:paraId="767944A5" w14:textId="129146A3" w:rsidR="00DE1BD0" w:rsidRPr="00DE1BD0" w:rsidRDefault="00DE1BD0" w:rsidP="00DE1BD0">
            <w:r w:rsidRPr="00DE1BD0">
              <w:t>APAC</w:t>
            </w:r>
          </w:p>
        </w:tc>
        <w:tc>
          <w:tcPr>
            <w:tcW w:w="1870" w:type="dxa"/>
          </w:tcPr>
          <w:p w14:paraId="254B6E68" w14:textId="6A4F9E80" w:rsidR="00DE1BD0" w:rsidRPr="00DE1BD0" w:rsidRDefault="00DE1BD0" w:rsidP="00DE1BD0">
            <w:r w:rsidRPr="00DE1BD0">
              <w:t>512</w:t>
            </w:r>
          </w:p>
        </w:tc>
        <w:tc>
          <w:tcPr>
            <w:tcW w:w="1870" w:type="dxa"/>
          </w:tcPr>
          <w:p w14:paraId="59D762C6" w14:textId="0B8072B0" w:rsidR="00DE1BD0" w:rsidRPr="00DE1BD0" w:rsidRDefault="00DE1BD0" w:rsidP="00DE1BD0">
            <w:r w:rsidRPr="00DE1BD0">
              <w:t>63</w:t>
            </w:r>
          </w:p>
        </w:tc>
        <w:tc>
          <w:tcPr>
            <w:tcW w:w="1870" w:type="dxa"/>
          </w:tcPr>
          <w:p w14:paraId="36F51B59" w14:textId="59BC89C6" w:rsidR="00DE1BD0" w:rsidRPr="00DE1BD0" w:rsidRDefault="00DE1BD0" w:rsidP="00DE1BD0">
            <w:r w:rsidRPr="00DE1BD0">
              <w:t>N/A</w:t>
            </w:r>
          </w:p>
        </w:tc>
      </w:tr>
      <w:tr w:rsidR="00DE1BD0" w:rsidRPr="00DE1BD0" w14:paraId="25FF279E" w14:textId="77777777" w:rsidTr="00DE1BD0">
        <w:tc>
          <w:tcPr>
            <w:tcW w:w="1870" w:type="dxa"/>
          </w:tcPr>
          <w:p w14:paraId="7EB04E7F" w14:textId="489F94F1" w:rsidR="00DE1BD0" w:rsidRPr="00DE1BD0" w:rsidRDefault="00DE1BD0" w:rsidP="00DE1BD0">
            <w:r w:rsidRPr="00DE1BD0">
              <w:t>Life Insurance</w:t>
            </w:r>
          </w:p>
        </w:tc>
        <w:tc>
          <w:tcPr>
            <w:tcW w:w="1870" w:type="dxa"/>
          </w:tcPr>
          <w:p w14:paraId="4CC0696E" w14:textId="2D21B266" w:rsidR="00DE1BD0" w:rsidRPr="00DE1BD0" w:rsidRDefault="00DE1BD0" w:rsidP="00DE1BD0">
            <w:r w:rsidRPr="00DE1BD0">
              <w:t>EMEA</w:t>
            </w:r>
          </w:p>
        </w:tc>
        <w:tc>
          <w:tcPr>
            <w:tcW w:w="1870" w:type="dxa"/>
          </w:tcPr>
          <w:p w14:paraId="0C996E37" w14:textId="00C5CC86" w:rsidR="00DE1BD0" w:rsidRPr="00DE1BD0" w:rsidRDefault="00DE1BD0" w:rsidP="00DE1BD0">
            <w:r w:rsidRPr="00DE1BD0">
              <w:t>636</w:t>
            </w:r>
          </w:p>
        </w:tc>
        <w:tc>
          <w:tcPr>
            <w:tcW w:w="1870" w:type="dxa"/>
          </w:tcPr>
          <w:p w14:paraId="7525F1DE" w14:textId="3F43DF83" w:rsidR="00DE1BD0" w:rsidRPr="00DE1BD0" w:rsidRDefault="00DE1BD0" w:rsidP="00DE1BD0">
            <w:r w:rsidRPr="00DE1BD0">
              <w:t>76</w:t>
            </w:r>
          </w:p>
        </w:tc>
        <w:tc>
          <w:tcPr>
            <w:tcW w:w="1870" w:type="dxa"/>
          </w:tcPr>
          <w:p w14:paraId="4BBCD333" w14:textId="29E26C39" w:rsidR="00DE1BD0" w:rsidRPr="00DE1BD0" w:rsidRDefault="00DE1BD0" w:rsidP="00DE1BD0">
            <w:r w:rsidRPr="00DE1BD0">
              <w:t>N/A</w:t>
            </w:r>
          </w:p>
        </w:tc>
      </w:tr>
      <w:tr w:rsidR="00DE1BD0" w:rsidRPr="00DE1BD0" w14:paraId="3C63EA1A" w14:textId="77777777" w:rsidTr="00DE1BD0">
        <w:trPr>
          <w:cnfStyle w:val="000000100000" w:firstRow="0" w:lastRow="0" w:firstColumn="0" w:lastColumn="0" w:oddVBand="0" w:evenVBand="0" w:oddHBand="1" w:evenHBand="0" w:firstRowFirstColumn="0" w:firstRowLastColumn="0" w:lastRowFirstColumn="0" w:lastRowLastColumn="0"/>
        </w:trPr>
        <w:tc>
          <w:tcPr>
            <w:tcW w:w="1870" w:type="dxa"/>
          </w:tcPr>
          <w:p w14:paraId="38361BCA" w14:textId="6018C51B" w:rsidR="00DE1BD0" w:rsidRPr="00DE1BD0" w:rsidRDefault="00DE1BD0" w:rsidP="00DE1BD0">
            <w:r w:rsidRPr="00DE1BD0">
              <w:t>Life Insurance</w:t>
            </w:r>
          </w:p>
        </w:tc>
        <w:tc>
          <w:tcPr>
            <w:tcW w:w="1870" w:type="dxa"/>
          </w:tcPr>
          <w:p w14:paraId="0ED4DD24" w14:textId="314E7899" w:rsidR="00DE1BD0" w:rsidRPr="00DE1BD0" w:rsidRDefault="00DE1BD0" w:rsidP="00DE1BD0">
            <w:r w:rsidRPr="00DE1BD0">
              <w:t>NA</w:t>
            </w:r>
          </w:p>
        </w:tc>
        <w:tc>
          <w:tcPr>
            <w:tcW w:w="1870" w:type="dxa"/>
          </w:tcPr>
          <w:p w14:paraId="17346FDE" w14:textId="2A754C9E" w:rsidR="00DE1BD0" w:rsidRPr="00DE1BD0" w:rsidRDefault="00DE1BD0" w:rsidP="00DE1BD0">
            <w:r w:rsidRPr="00DE1BD0">
              <w:t>885</w:t>
            </w:r>
          </w:p>
        </w:tc>
        <w:tc>
          <w:tcPr>
            <w:tcW w:w="1870" w:type="dxa"/>
          </w:tcPr>
          <w:p w14:paraId="51B45D8E" w14:textId="7109045D" w:rsidR="00DE1BD0" w:rsidRPr="00DE1BD0" w:rsidRDefault="00DE1BD0" w:rsidP="00DE1BD0">
            <w:r w:rsidRPr="00DE1BD0">
              <w:t>100</w:t>
            </w:r>
          </w:p>
        </w:tc>
        <w:tc>
          <w:tcPr>
            <w:tcW w:w="1870" w:type="dxa"/>
          </w:tcPr>
          <w:p w14:paraId="0F75FC7C" w14:textId="01F9621E" w:rsidR="00DE1BD0" w:rsidRPr="00DE1BD0" w:rsidRDefault="00DE1BD0" w:rsidP="00DE1BD0">
            <w:r w:rsidRPr="00DE1BD0">
              <w:t>N/A</w:t>
            </w:r>
          </w:p>
        </w:tc>
      </w:tr>
      <w:tr w:rsidR="00DE1BD0" w:rsidRPr="00DE1BD0" w14:paraId="574FFEFE" w14:textId="77777777" w:rsidTr="00DE1BD0">
        <w:tc>
          <w:tcPr>
            <w:tcW w:w="1870" w:type="dxa"/>
          </w:tcPr>
          <w:p w14:paraId="1F91DE8B" w14:textId="32F62B65" w:rsidR="00DE1BD0" w:rsidRPr="00DE1BD0" w:rsidRDefault="00DE1BD0" w:rsidP="00DE1BD0">
            <w:r w:rsidRPr="00DE1BD0">
              <w:t>Life Insurance</w:t>
            </w:r>
          </w:p>
        </w:tc>
        <w:tc>
          <w:tcPr>
            <w:tcW w:w="1870" w:type="dxa"/>
          </w:tcPr>
          <w:p w14:paraId="3A1343B4" w14:textId="28EB825B" w:rsidR="00DE1BD0" w:rsidRPr="00DE1BD0" w:rsidRDefault="00DE1BD0" w:rsidP="00DE1BD0">
            <w:r w:rsidRPr="00DE1BD0">
              <w:t>LATAM</w:t>
            </w:r>
          </w:p>
        </w:tc>
        <w:tc>
          <w:tcPr>
            <w:tcW w:w="1870" w:type="dxa"/>
          </w:tcPr>
          <w:p w14:paraId="101915A1" w14:textId="6DF4AD87" w:rsidR="00DE1BD0" w:rsidRPr="00DE1BD0" w:rsidRDefault="00DE1BD0" w:rsidP="00DE1BD0">
            <w:r w:rsidRPr="00DE1BD0">
              <w:t>138</w:t>
            </w:r>
          </w:p>
        </w:tc>
        <w:tc>
          <w:tcPr>
            <w:tcW w:w="1870" w:type="dxa"/>
          </w:tcPr>
          <w:p w14:paraId="2D5F6EAC" w14:textId="5EB21764" w:rsidR="00DE1BD0" w:rsidRPr="00DE1BD0" w:rsidRDefault="00DE1BD0" w:rsidP="00DE1BD0">
            <w:r w:rsidRPr="00DE1BD0">
              <w:t>26</w:t>
            </w:r>
          </w:p>
        </w:tc>
        <w:tc>
          <w:tcPr>
            <w:tcW w:w="1870" w:type="dxa"/>
          </w:tcPr>
          <w:p w14:paraId="41258444" w14:textId="71384133" w:rsidR="00DE1BD0" w:rsidRPr="00DE1BD0" w:rsidRDefault="00DE1BD0" w:rsidP="00DE1BD0">
            <w:r w:rsidRPr="00DE1BD0">
              <w:t>N/A</w:t>
            </w:r>
          </w:p>
        </w:tc>
      </w:tr>
    </w:tbl>
    <w:p w14:paraId="1519E1EB" w14:textId="77777777" w:rsidR="00DE1BD0" w:rsidRDefault="00DE1BD0" w:rsidP="00DE1BD0"/>
    <w:p w14:paraId="2250120F" w14:textId="5746111B" w:rsidR="00DE1BD0" w:rsidRDefault="00DE1BD0" w:rsidP="00DE1BD0">
      <w:r>
        <w:rPr>
          <w:noProof/>
        </w:rPr>
        <w:drawing>
          <wp:inline distT="0" distB="0" distL="0" distR="0" wp14:anchorId="360B25D5" wp14:editId="64B71ADE">
            <wp:extent cx="4572000" cy="2743200"/>
            <wp:effectExtent l="0" t="0" r="0" b="0"/>
            <wp:docPr id="1256174976" name="Chart 1">
              <a:extLst xmlns:a="http://schemas.openxmlformats.org/drawingml/2006/main">
                <a:ext uri="{FF2B5EF4-FFF2-40B4-BE49-F238E27FC236}">
                  <a16:creationId xmlns:a16="http://schemas.microsoft.com/office/drawing/2014/main" id="{AF2AABA8-476B-B17F-1203-51A04460C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AAC465" w14:textId="7D035D41" w:rsidR="00DE1BD0" w:rsidRDefault="00DE1BD0" w:rsidP="00DE1BD0">
      <w:pPr>
        <w:pStyle w:val="Heading1"/>
      </w:pPr>
      <w:r>
        <w:t>Summary</w:t>
      </w:r>
    </w:p>
    <w:p w14:paraId="46835C42" w14:textId="77777777" w:rsidR="00DE1BD0" w:rsidRDefault="00DE1BD0" w:rsidP="00DE1BD0">
      <w:r w:rsidRPr="00DE1BD0">
        <w:t>The table shows that TR Insurance achieved a positive net income across all lines of business and regions, with an increase of 7.2% compared to the previous year. The company also maintained a favorable combined ratio for all lines of business, except for Auto in LATAM, which had a slightly higher ratio than the industry average of 91%. The company's net written premiums increased by 6.5% compared to the previous year, driven by the growth in Auto, Home, and Investments. The company's net income increased by 7.5%, reflecting the improved underwriting performance and investment returns.</w:t>
      </w:r>
    </w:p>
    <w:p w14:paraId="626DC081" w14:textId="77777777" w:rsidR="00DE1BD0" w:rsidRDefault="00DE1BD0" w:rsidP="00DE1BD0">
      <w:pPr>
        <w:pStyle w:val="Heading1"/>
      </w:pPr>
      <w:r>
        <w:t>Conclusion</w:t>
      </w:r>
    </w:p>
    <w:p w14:paraId="406880E0" w14:textId="17819CEC" w:rsidR="00DE1BD0" w:rsidRPr="00DE1BD0" w:rsidRDefault="00DE1BD0" w:rsidP="00DE1BD0">
      <w:r w:rsidRPr="00DE1BD0">
        <w:t xml:space="preserve">TR Insurance had a successful year in 2021, despite the challenges posed by the COVID-19 pandemic and the economic downturn. The company demonstrated its resilience and adaptability by delivering strong financial results and providing excellent customer service. The company also </w:t>
      </w:r>
      <w:r w:rsidRPr="00DE1BD0">
        <w:lastRenderedPageBreak/>
        <w:t>invested in innovation and digital transformation to enhance its operational efficiency and customer experience. The company is well-positioned to continue its growth and profitability in 2022 and beyond.</w:t>
      </w:r>
    </w:p>
    <w:p w14:paraId="5AAD67A6" w14:textId="171CA166" w:rsidR="009F47E2" w:rsidRPr="00DE1BD0" w:rsidRDefault="009F47E2" w:rsidP="00DE1BD0"/>
    <w:sectPr w:rsidR="009F47E2" w:rsidRPr="00DE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251DE"/>
    <w:multiLevelType w:val="hybridMultilevel"/>
    <w:tmpl w:val="EC1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D789E"/>
    <w:multiLevelType w:val="hybridMultilevel"/>
    <w:tmpl w:val="2ADA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560815">
    <w:abstractNumId w:val="0"/>
  </w:num>
  <w:num w:numId="2" w16cid:durableId="948201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4B"/>
    <w:rsid w:val="00015DB4"/>
    <w:rsid w:val="002335C2"/>
    <w:rsid w:val="006F1BDF"/>
    <w:rsid w:val="00823C4B"/>
    <w:rsid w:val="009F47E2"/>
    <w:rsid w:val="00DE1BD0"/>
    <w:rsid w:val="00E13178"/>
    <w:rsid w:val="00F220E7"/>
    <w:rsid w:val="00F9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0A44"/>
  <w15:chartTrackingRefBased/>
  <w15:docId w15:val="{65B204B7-58B2-4C41-AB8F-C01C4AF5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C4B"/>
    <w:rPr>
      <w:rFonts w:eastAsiaTheme="majorEastAsia" w:cstheme="majorBidi"/>
      <w:color w:val="272727" w:themeColor="text1" w:themeTint="D8"/>
    </w:rPr>
  </w:style>
  <w:style w:type="paragraph" w:styleId="Title">
    <w:name w:val="Title"/>
    <w:basedOn w:val="Normal"/>
    <w:next w:val="Normal"/>
    <w:link w:val="TitleChar"/>
    <w:uiPriority w:val="10"/>
    <w:qFormat/>
    <w:rsid w:val="00823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C4B"/>
    <w:pPr>
      <w:spacing w:before="160"/>
      <w:jc w:val="center"/>
    </w:pPr>
    <w:rPr>
      <w:i/>
      <w:iCs/>
      <w:color w:val="404040" w:themeColor="text1" w:themeTint="BF"/>
    </w:rPr>
  </w:style>
  <w:style w:type="character" w:customStyle="1" w:styleId="QuoteChar">
    <w:name w:val="Quote Char"/>
    <w:basedOn w:val="DefaultParagraphFont"/>
    <w:link w:val="Quote"/>
    <w:uiPriority w:val="29"/>
    <w:rsid w:val="00823C4B"/>
    <w:rPr>
      <w:i/>
      <w:iCs/>
      <w:color w:val="404040" w:themeColor="text1" w:themeTint="BF"/>
    </w:rPr>
  </w:style>
  <w:style w:type="paragraph" w:styleId="ListParagraph">
    <w:name w:val="List Paragraph"/>
    <w:basedOn w:val="Normal"/>
    <w:uiPriority w:val="34"/>
    <w:qFormat/>
    <w:rsid w:val="00823C4B"/>
    <w:pPr>
      <w:ind w:left="720"/>
      <w:contextualSpacing/>
    </w:pPr>
  </w:style>
  <w:style w:type="character" w:styleId="IntenseEmphasis">
    <w:name w:val="Intense Emphasis"/>
    <w:basedOn w:val="DefaultParagraphFont"/>
    <w:uiPriority w:val="21"/>
    <w:qFormat/>
    <w:rsid w:val="00823C4B"/>
    <w:rPr>
      <w:i/>
      <w:iCs/>
      <w:color w:val="0F4761" w:themeColor="accent1" w:themeShade="BF"/>
    </w:rPr>
  </w:style>
  <w:style w:type="paragraph" w:styleId="IntenseQuote">
    <w:name w:val="Intense Quote"/>
    <w:basedOn w:val="Normal"/>
    <w:next w:val="Normal"/>
    <w:link w:val="IntenseQuoteChar"/>
    <w:uiPriority w:val="30"/>
    <w:qFormat/>
    <w:rsid w:val="00823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C4B"/>
    <w:rPr>
      <w:i/>
      <w:iCs/>
      <w:color w:val="0F4761" w:themeColor="accent1" w:themeShade="BF"/>
    </w:rPr>
  </w:style>
  <w:style w:type="character" w:styleId="IntenseReference">
    <w:name w:val="Intense Reference"/>
    <w:basedOn w:val="DefaultParagraphFont"/>
    <w:uiPriority w:val="32"/>
    <w:qFormat/>
    <w:rsid w:val="00823C4B"/>
    <w:rPr>
      <w:b/>
      <w:bCs/>
      <w:smallCaps/>
      <w:color w:val="0F4761" w:themeColor="accent1" w:themeShade="BF"/>
      <w:spacing w:val="5"/>
    </w:rPr>
  </w:style>
  <w:style w:type="table" w:styleId="TableGrid">
    <w:name w:val="Table Grid"/>
    <w:basedOn w:val="TableNormal"/>
    <w:uiPriority w:val="39"/>
    <w:rsid w:val="00DE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E1B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microsoft-my.sharepoint.com/personal/tibarar_microsoft_com/Documents/Desktop/InsuranceSampleDocs/AnnualRepor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Sheet1!$B$36</c:f>
              <c:strCache>
                <c:ptCount val="1"/>
                <c:pt idx="0">
                  <c:v>Net income (in millions)</c:v>
                </c:pt>
              </c:strCache>
            </c:strRef>
          </c:tx>
          <c:spPr>
            <a:solidFill>
              <a:schemeClr val="accent1"/>
            </a:solidFill>
            <a:ln>
              <a:noFill/>
            </a:ln>
            <a:effectLst/>
          </c:spPr>
          <c:invertIfNegative val="0"/>
          <c:cat>
            <c:strRef>
              <c:f>Sheet1!$A$37:$A$41</c:f>
              <c:strCache>
                <c:ptCount val="5"/>
                <c:pt idx="0">
                  <c:v>NAM</c:v>
                </c:pt>
                <c:pt idx="1">
                  <c:v>LATAM</c:v>
                </c:pt>
                <c:pt idx="2">
                  <c:v>EMEA</c:v>
                </c:pt>
                <c:pt idx="3">
                  <c:v>APAC</c:v>
                </c:pt>
                <c:pt idx="4">
                  <c:v>Total</c:v>
                </c:pt>
              </c:strCache>
            </c:strRef>
          </c:cat>
          <c:val>
            <c:numRef>
              <c:f>Sheet1!$B$37:$B$41</c:f>
              <c:numCache>
                <c:formatCode>General</c:formatCode>
                <c:ptCount val="5"/>
                <c:pt idx="0">
                  <c:v>56.8</c:v>
                </c:pt>
                <c:pt idx="1">
                  <c:v>13.2</c:v>
                </c:pt>
                <c:pt idx="2">
                  <c:v>26.5</c:v>
                </c:pt>
                <c:pt idx="3">
                  <c:v>18.7</c:v>
                </c:pt>
                <c:pt idx="4">
                  <c:v>115.2</c:v>
                </c:pt>
              </c:numCache>
            </c:numRef>
          </c:val>
          <c:extLst>
            <c:ext xmlns:c16="http://schemas.microsoft.com/office/drawing/2014/chart" uri="{C3380CC4-5D6E-409C-BE32-E72D297353CC}">
              <c16:uniqueId val="{00000000-9970-47B4-AA5C-C9DB1F5361B4}"/>
            </c:ext>
          </c:extLst>
        </c:ser>
        <c:ser>
          <c:idx val="1"/>
          <c:order val="1"/>
          <c:tx>
            <c:strRef>
              <c:f>Sheet1!$C$36</c:f>
              <c:strCache>
                <c:ptCount val="1"/>
                <c:pt idx="0">
                  <c:v>Combined ratio (%)</c:v>
                </c:pt>
              </c:strCache>
            </c:strRef>
          </c:tx>
          <c:spPr>
            <a:solidFill>
              <a:schemeClr val="accent2"/>
            </a:solidFill>
            <a:ln>
              <a:noFill/>
            </a:ln>
            <a:effectLst/>
          </c:spPr>
          <c:invertIfNegative val="0"/>
          <c:cat>
            <c:strRef>
              <c:f>Sheet1!$A$37:$A$41</c:f>
              <c:strCache>
                <c:ptCount val="5"/>
                <c:pt idx="0">
                  <c:v>NAM</c:v>
                </c:pt>
                <c:pt idx="1">
                  <c:v>LATAM</c:v>
                </c:pt>
                <c:pt idx="2">
                  <c:v>EMEA</c:v>
                </c:pt>
                <c:pt idx="3">
                  <c:v>APAC</c:v>
                </c:pt>
                <c:pt idx="4">
                  <c:v>Total</c:v>
                </c:pt>
              </c:strCache>
            </c:strRef>
          </c:cat>
          <c:val>
            <c:numRef>
              <c:f>Sheet1!$C$37:$C$41</c:f>
              <c:numCache>
                <c:formatCode>General</c:formatCode>
                <c:ptCount val="5"/>
                <c:pt idx="0">
                  <c:v>88.3</c:v>
                </c:pt>
                <c:pt idx="1">
                  <c:v>92.4</c:v>
                </c:pt>
                <c:pt idx="2">
                  <c:v>86.7</c:v>
                </c:pt>
                <c:pt idx="3">
                  <c:v>87.9</c:v>
                </c:pt>
                <c:pt idx="4">
                  <c:v>88.6</c:v>
                </c:pt>
              </c:numCache>
            </c:numRef>
          </c:val>
          <c:extLst>
            <c:ext xmlns:c16="http://schemas.microsoft.com/office/drawing/2014/chart" uri="{C3380CC4-5D6E-409C-BE32-E72D297353CC}">
              <c16:uniqueId val="{00000001-9970-47B4-AA5C-C9DB1F5361B4}"/>
            </c:ext>
          </c:extLst>
        </c:ser>
        <c:dLbls>
          <c:showLegendKey val="0"/>
          <c:showVal val="0"/>
          <c:showCatName val="0"/>
          <c:showSerName val="0"/>
          <c:showPercent val="0"/>
          <c:showBubbleSize val="0"/>
        </c:dLbls>
        <c:gapWidth val="219"/>
        <c:overlap val="-27"/>
        <c:axId val="564867104"/>
        <c:axId val="564870464"/>
      </c:barChart>
      <c:catAx>
        <c:axId val="56486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70464"/>
        <c:crosses val="autoZero"/>
        <c:auto val="1"/>
        <c:lblAlgn val="ctr"/>
        <c:lblOffset val="100"/>
        <c:noMultiLvlLbl val="0"/>
      </c:catAx>
      <c:valAx>
        <c:axId val="56487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6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Barari (TR)</dc:creator>
  <cp:keywords/>
  <dc:description/>
  <cp:lastModifiedBy>Tirthankar Barari (TR)</cp:lastModifiedBy>
  <cp:revision>3</cp:revision>
  <dcterms:created xsi:type="dcterms:W3CDTF">2024-03-18T17:34:00Z</dcterms:created>
  <dcterms:modified xsi:type="dcterms:W3CDTF">2024-03-18T17:55:00Z</dcterms:modified>
</cp:coreProperties>
</file>