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D3A2B3" w14:textId="77777777" w:rsidR="00196011" w:rsidRPr="00196011" w:rsidRDefault="00196011" w:rsidP="00196011">
      <w:pPr>
        <w:spacing w:after="0"/>
        <w:jc w:val="both"/>
        <w:rPr>
          <w:rFonts w:ascii="Century Gothic" w:hAnsi="Century Gothic"/>
          <w:b/>
        </w:rPr>
      </w:pPr>
      <w:r w:rsidRPr="00196011">
        <w:rPr>
          <w:rFonts w:ascii="Century Gothic" w:hAnsi="Century Gothic"/>
          <w:b/>
        </w:rPr>
        <w:t>El FMI: Datos básicos</w:t>
      </w:r>
      <w:bookmarkStart w:id="0" w:name="_GoBack"/>
      <w:bookmarkEnd w:id="0"/>
    </w:p>
    <w:p w14:paraId="46156BAB" w14:textId="77777777" w:rsidR="00196011" w:rsidRPr="00196011" w:rsidRDefault="00196011" w:rsidP="00196011">
      <w:pPr>
        <w:spacing w:after="0"/>
        <w:jc w:val="both"/>
        <w:rPr>
          <w:rFonts w:ascii="Century Gothic" w:hAnsi="Century Gothic"/>
        </w:rPr>
      </w:pPr>
      <w:r w:rsidRPr="00196011">
        <w:rPr>
          <w:rFonts w:ascii="Century Gothic" w:hAnsi="Century Gothic"/>
        </w:rPr>
        <w:t>30 de abril de 2015</w:t>
      </w:r>
    </w:p>
    <w:p w14:paraId="3ED05344" w14:textId="77777777" w:rsidR="00196011" w:rsidRPr="00196011" w:rsidRDefault="00196011" w:rsidP="00196011">
      <w:pPr>
        <w:spacing w:after="0"/>
        <w:jc w:val="both"/>
        <w:rPr>
          <w:rFonts w:ascii="Century Gothic" w:hAnsi="Century Gothic"/>
        </w:rPr>
      </w:pPr>
      <w:r w:rsidRPr="00196011">
        <w:rPr>
          <w:rFonts w:ascii="Century Gothic" w:hAnsi="Century Gothic"/>
        </w:rPr>
        <w:t>El Fondo Monetario Internacional (FMI) promueve la estabilidad financiera y la cooperación monetaria internacional. Asimismo, busca facilitar el comercio internacional, promover un empleo elevado y un crecimiento económico sostenible y reducir la pobreza en el mundo entero. El FMI es administrado por los 189 países miembros a los cuales les rinde cuentas.</w:t>
      </w:r>
    </w:p>
    <w:p w14:paraId="591730DE" w14:textId="77777777" w:rsidR="00196011" w:rsidRPr="00196011" w:rsidRDefault="00196011" w:rsidP="00196011">
      <w:pPr>
        <w:spacing w:after="0"/>
        <w:jc w:val="both"/>
        <w:rPr>
          <w:rFonts w:ascii="Century Gothic" w:hAnsi="Century Gothic"/>
        </w:rPr>
      </w:pPr>
      <w:r w:rsidRPr="00196011">
        <w:rPr>
          <w:rFonts w:ascii="Century Gothic" w:hAnsi="Century Gothic"/>
        </w:rPr>
        <w:t>La idea de crear el Fondo Monetario Internacional, también conocido como el “FMI” o “el Fondo”, se planteó en julio de 1944 en una conferencia de las Naciones Unidas celebrada en Bretton Woods, Nuevo Hampshire (Estados Unidos), cuando los representantes de 44 países acordaron establecer un marco de cooperación económica destinado a evitar que se repitieran las devaluaciones competitivas que contribuyeron a provocar la Gran Depresión de los años treinta.</w:t>
      </w:r>
    </w:p>
    <w:p w14:paraId="69BA9454" w14:textId="77777777" w:rsidR="00196011" w:rsidRPr="00196011" w:rsidRDefault="00196011" w:rsidP="00196011">
      <w:pPr>
        <w:spacing w:after="0"/>
        <w:jc w:val="both"/>
        <w:rPr>
          <w:rFonts w:ascii="Century Gothic" w:hAnsi="Century Gothic"/>
        </w:rPr>
      </w:pPr>
      <w:r w:rsidRPr="00196011">
        <w:rPr>
          <w:rFonts w:ascii="Century Gothic" w:hAnsi="Century Gothic"/>
        </w:rPr>
        <w:t>Las responsabilidades del FMI: El principal propósito del FMI consiste en asegurar la estabilidad del sistema monetario internacional, es decir el sistema de pagos internacionales y tipos de cambio que permite a los países (y a sus ciudadanos) efectuar transacciones entre sí. En 2012, el FMI actualizó su cometido a fin de cubrir toda la problemática de la macroeconomía y del sector financiero que incide en la estabilidad mundial.</w:t>
      </w:r>
    </w:p>
    <w:p w14:paraId="35D958FF" w14:textId="77777777" w:rsidR="00196011" w:rsidRPr="00196011" w:rsidRDefault="00196011" w:rsidP="00196011">
      <w:pPr>
        <w:spacing w:after="0"/>
        <w:jc w:val="both"/>
        <w:rPr>
          <w:rFonts w:ascii="Century Gothic" w:hAnsi="Century Gothic"/>
        </w:rPr>
      </w:pPr>
      <w:r w:rsidRPr="00CE6E62">
        <w:rPr>
          <w:rFonts w:ascii="Century Gothic" w:hAnsi="Century Gothic"/>
          <w:b/>
        </w:rPr>
        <w:t>Supervisión:</w:t>
      </w:r>
      <w:r w:rsidRPr="00196011">
        <w:rPr>
          <w:rFonts w:ascii="Century Gothic" w:hAnsi="Century Gothic"/>
        </w:rPr>
        <w:t xml:space="preserve"> Para mantener la estabilidad y prevenir crisis en el sistema monetario internacional, el FMI pasa revista a las políticas económicas aplicadas por los países, así como a la situación económica y financiera nacional, regional y mundial a través de un sistema formal de supervisión. El FMI proporciona asesoramiento a los 189 países miembros y recomienda políticas que promuevan la estabilidad económica, reduzcan la vulnerabilidad a crisis económicas y financieras y mejoren los niveles de vida. Publica evaluaciones regulares sobre el panorama internacional en Perspectivas de la economía mundial, de los mercados financieros en Global </w:t>
      </w:r>
      <w:proofErr w:type="spellStart"/>
      <w:r w:rsidRPr="00196011">
        <w:rPr>
          <w:rFonts w:ascii="Century Gothic" w:hAnsi="Century Gothic"/>
        </w:rPr>
        <w:t>Financial</w:t>
      </w:r>
      <w:proofErr w:type="spellEnd"/>
      <w:r w:rsidRPr="00196011">
        <w:rPr>
          <w:rFonts w:ascii="Century Gothic" w:hAnsi="Century Gothic"/>
        </w:rPr>
        <w:t xml:space="preserve"> </w:t>
      </w:r>
      <w:proofErr w:type="spellStart"/>
      <w:r w:rsidRPr="00196011">
        <w:rPr>
          <w:rFonts w:ascii="Century Gothic" w:hAnsi="Century Gothic"/>
        </w:rPr>
        <w:t>Stability</w:t>
      </w:r>
      <w:proofErr w:type="spellEnd"/>
      <w:r w:rsidRPr="00196011">
        <w:rPr>
          <w:rFonts w:ascii="Century Gothic" w:hAnsi="Century Gothic"/>
        </w:rPr>
        <w:t xml:space="preserve"> </w:t>
      </w:r>
      <w:proofErr w:type="spellStart"/>
      <w:r w:rsidRPr="00196011">
        <w:rPr>
          <w:rFonts w:ascii="Century Gothic" w:hAnsi="Century Gothic"/>
        </w:rPr>
        <w:t>Report</w:t>
      </w:r>
      <w:proofErr w:type="spellEnd"/>
      <w:r w:rsidRPr="00196011">
        <w:rPr>
          <w:rFonts w:ascii="Century Gothic" w:hAnsi="Century Gothic"/>
        </w:rPr>
        <w:t xml:space="preserve"> y sobre la evolución de las finanzas públicas en Fiscal Monitor, así como una serie de informes sobre las perspectivas regionales. Actualmente, el Directorio Ejecutivo del FMI ha estado considerando una gama de opciones para perfeccionar e integrar mejor la supervisión multilateral, financiera y bilateral; comprender mejor los efectos de contagio y la evaluación de los riesgos incipientes y potenciales; y afianzar la influencia del asesoramiento del FMI en materia de política económica.</w:t>
      </w:r>
    </w:p>
    <w:p w14:paraId="6E37F97D" w14:textId="77777777" w:rsidR="00196011" w:rsidRPr="00196011" w:rsidRDefault="00196011" w:rsidP="00196011">
      <w:pPr>
        <w:spacing w:after="0"/>
        <w:jc w:val="both"/>
        <w:rPr>
          <w:rFonts w:ascii="Century Gothic" w:hAnsi="Century Gothic"/>
        </w:rPr>
      </w:pPr>
      <w:r w:rsidRPr="00CE6E62">
        <w:rPr>
          <w:rFonts w:ascii="Century Gothic" w:hAnsi="Century Gothic"/>
          <w:b/>
        </w:rPr>
        <w:t>Asistencia financiera:</w:t>
      </w:r>
      <w:r w:rsidRPr="00196011">
        <w:rPr>
          <w:rFonts w:ascii="Century Gothic" w:hAnsi="Century Gothic"/>
        </w:rPr>
        <w:t xml:space="preserve"> El FMI otorga financiamiento con el fin de dar a los países miembros margen de maniobra para corregir sus problemas de balanza de pagos; las autoridades nacionales, en estrecha colaboración con el FMI, formulan programas de ajuste respaldados con financiamiento del FMI; la continuidad del respaldo financiero está condicionada a la implementación eficaz de estos programas. Ante la crisis económica internacional, el FMI fortaleció rápidamente su capacidad de préstamo al aprobar en abril de 2009 una reforma profunda de sus mecanismos de apoyo financiero, y en 2010 y 2011 se adoptaron aún más reformas. Los instrumentos del FMI para la concesión de préstamos fueron objeto de mejoras a los efectos de brindar herramientas flexibles para la prevención de crisis a los </w:t>
      </w:r>
      <w:r w:rsidRPr="00196011">
        <w:rPr>
          <w:rFonts w:ascii="Century Gothic" w:hAnsi="Century Gothic"/>
        </w:rPr>
        <w:lastRenderedPageBreak/>
        <w:t>países miembros que mostraran solidez en sus parámetros económicos fundamentales, políticas económicas y marcos de política institucional. El FMI duplicó los límites de acceso al crédito y amplió los préstamos a los países más pobres, gracias a las utilidades extraordinarias de las ventas de oro, eximiéndolos del pago de intereses hasta fines de 2016.</w:t>
      </w:r>
    </w:p>
    <w:p w14:paraId="746B1BDB" w14:textId="77777777" w:rsidR="00196011" w:rsidRPr="00196011" w:rsidRDefault="00196011" w:rsidP="00196011">
      <w:pPr>
        <w:spacing w:after="0"/>
        <w:jc w:val="both"/>
        <w:rPr>
          <w:rFonts w:ascii="Century Gothic" w:hAnsi="Century Gothic"/>
        </w:rPr>
      </w:pPr>
      <w:r w:rsidRPr="00CE6E62">
        <w:rPr>
          <w:rFonts w:ascii="Century Gothic" w:hAnsi="Century Gothic"/>
          <w:b/>
        </w:rPr>
        <w:t>Asistencia técnica:</w:t>
      </w:r>
      <w:r w:rsidRPr="00196011">
        <w:rPr>
          <w:rFonts w:ascii="Century Gothic" w:hAnsi="Century Gothic"/>
        </w:rPr>
        <w:t xml:space="preserve"> El FMI brinda asistencia técnica y capacitación para ayudar a los países miembros a fortalecer las capacidades de concepción y ejecución de políticas eficaces, incluidos ámbitos tales como política y administración tributaria, administración del gasto, políticas monetarias y cambiarias, supervisión y regulación de sistemas bancarios y financieros, marcos legislativos y estadísticas.</w:t>
      </w:r>
    </w:p>
    <w:p w14:paraId="4C188CAE" w14:textId="77777777" w:rsidR="00196011" w:rsidRPr="00196011" w:rsidRDefault="00196011" w:rsidP="00196011">
      <w:pPr>
        <w:spacing w:after="0"/>
        <w:jc w:val="both"/>
        <w:rPr>
          <w:rFonts w:ascii="Century Gothic" w:hAnsi="Century Gothic"/>
        </w:rPr>
      </w:pPr>
      <w:r w:rsidRPr="00CE6E62">
        <w:rPr>
          <w:rFonts w:ascii="Century Gothic" w:hAnsi="Century Gothic"/>
          <w:b/>
        </w:rPr>
        <w:t>DEG:</w:t>
      </w:r>
      <w:r w:rsidRPr="00196011">
        <w:rPr>
          <w:rFonts w:ascii="Century Gothic" w:hAnsi="Century Gothic"/>
        </w:rPr>
        <w:t xml:space="preserve"> El FMI emite un activo de reserva internacional conocido como Derechos Especiales de Giro que puede complementar los activos de reserva de los países miembros. El total de asignaciones asciende a alrededor de DEG 204.000 millones (aproximadamente US$280.000 millones). Los miembros del FMI también pueden realizar entre sí intercambios voluntarios de DEG por monedas.</w:t>
      </w:r>
    </w:p>
    <w:p w14:paraId="64D9CD3E" w14:textId="77777777" w:rsidR="00196011" w:rsidRPr="00196011" w:rsidRDefault="00196011" w:rsidP="00196011">
      <w:pPr>
        <w:spacing w:after="0"/>
        <w:jc w:val="both"/>
        <w:rPr>
          <w:rFonts w:ascii="Century Gothic" w:hAnsi="Century Gothic"/>
        </w:rPr>
      </w:pPr>
      <w:r w:rsidRPr="00CE6E62">
        <w:rPr>
          <w:rFonts w:ascii="Century Gothic" w:hAnsi="Century Gothic"/>
          <w:b/>
        </w:rPr>
        <w:t>Recursos:</w:t>
      </w:r>
      <w:r w:rsidRPr="00196011">
        <w:rPr>
          <w:rFonts w:ascii="Century Gothic" w:hAnsi="Century Gothic"/>
        </w:rPr>
        <w:t xml:space="preserve"> La principal fuente de los recursos financieros del FMI son las cuotas de los países miembros, que en términos generales reflejan la posición relativa de los países en la economía mundial. Actualmente, los recursos provenientes de las cuotas ascienden a alrededor de DEG 238.000 millones (unos US$327.000 millones). Además, el FMI puede complementar los recursos de las cuotas obteniendo préstamos. Los Nuevos Acuerdos para la Obtención de Préstamos (NAP), que fueron ampliados en 2011 y pueden suministrar recursos adicionales de hasta DEG 370.000 millones (unos US$515.000 millones), son el principal complemento de las cuotas. A mediados de 2012, los países miembros también se comprometieron a aumentar los recursos del FMI a través de acuerdos bilaterales de crédito; actualmente, alrededor de US$370.000 millones (DEG 270.000 millones) se encuentran vigentes. Cuando entre en vigor la Decimocuarta Revisión de Cuotas y todos los miembros paguen los aumentos de sus cuotas, se duplicarán los recursos del FMI provenientes de las cuotas. En ese momento, también se producirá para cada participante en los NAP una reducción de los recursos de los NAP en un monto correspondiente.</w:t>
      </w:r>
    </w:p>
    <w:p w14:paraId="12A3C228" w14:textId="77777777" w:rsidR="00196011" w:rsidRPr="00196011" w:rsidRDefault="00196011" w:rsidP="00196011">
      <w:pPr>
        <w:spacing w:after="0"/>
        <w:jc w:val="both"/>
        <w:rPr>
          <w:rFonts w:ascii="Century Gothic" w:hAnsi="Century Gothic"/>
        </w:rPr>
      </w:pPr>
      <w:r w:rsidRPr="00CE6E62">
        <w:rPr>
          <w:rFonts w:ascii="Century Gothic" w:hAnsi="Century Gothic"/>
          <w:b/>
        </w:rPr>
        <w:t>Gestión de gobierno y organización:</w:t>
      </w:r>
      <w:r w:rsidRPr="00196011">
        <w:rPr>
          <w:rFonts w:ascii="Century Gothic" w:hAnsi="Century Gothic"/>
        </w:rPr>
        <w:t xml:space="preserve"> El FMI rinde cuentas a los gobiernos de sus países miembros. La instancia máxima de su estructura organizativa es la Junta de Gobernadores, que está integrada por un gobernador y un gobernador suplente por cada país miembro, generalmente del banco central o del ministerio de hacienda. La Junta de Gobernadores se reúne una vez al año en ocasión de las Reuniones Anuales del FMI y del Banco Mundial. Los 24 gobernadores que conforman el Comité Monetario y Financiero Internacional (CMFI) se reúnen generalmente dos veces por año.</w:t>
      </w:r>
    </w:p>
    <w:p w14:paraId="2F5C2AF6" w14:textId="77777777" w:rsidR="008A7B1D" w:rsidRDefault="008A7B1D" w:rsidP="00196011">
      <w:pPr>
        <w:spacing w:after="0"/>
        <w:jc w:val="both"/>
        <w:rPr>
          <w:rFonts w:ascii="Century Gothic" w:hAnsi="Century Gothic"/>
          <w:b/>
        </w:rPr>
      </w:pPr>
    </w:p>
    <w:p w14:paraId="7DE8DC35" w14:textId="77777777" w:rsidR="008A7B1D" w:rsidRDefault="008A7B1D" w:rsidP="00196011">
      <w:pPr>
        <w:spacing w:after="0"/>
        <w:jc w:val="both"/>
        <w:rPr>
          <w:rFonts w:ascii="Century Gothic" w:hAnsi="Century Gothic"/>
          <w:b/>
        </w:rPr>
      </w:pPr>
    </w:p>
    <w:p w14:paraId="6954C9F9" w14:textId="77777777" w:rsidR="008A7B1D" w:rsidRDefault="008A7B1D" w:rsidP="00196011">
      <w:pPr>
        <w:spacing w:after="0"/>
        <w:jc w:val="both"/>
        <w:rPr>
          <w:rFonts w:ascii="Century Gothic" w:hAnsi="Century Gothic"/>
          <w:b/>
        </w:rPr>
      </w:pPr>
    </w:p>
    <w:p w14:paraId="74D544DF" w14:textId="77777777" w:rsidR="008A7B1D" w:rsidRDefault="008A7B1D" w:rsidP="00196011">
      <w:pPr>
        <w:spacing w:after="0"/>
        <w:jc w:val="both"/>
        <w:rPr>
          <w:rFonts w:ascii="Century Gothic" w:hAnsi="Century Gothic"/>
          <w:b/>
        </w:rPr>
      </w:pPr>
    </w:p>
    <w:p w14:paraId="34C02309" w14:textId="77777777" w:rsidR="008A7B1D" w:rsidRDefault="008A7B1D" w:rsidP="00196011">
      <w:pPr>
        <w:spacing w:after="0"/>
        <w:jc w:val="both"/>
        <w:rPr>
          <w:rFonts w:ascii="Century Gothic" w:hAnsi="Century Gothic"/>
          <w:b/>
        </w:rPr>
      </w:pPr>
    </w:p>
    <w:p w14:paraId="4A0CEC35" w14:textId="77777777" w:rsidR="007C50AE" w:rsidRPr="00CE6E62" w:rsidRDefault="00196011" w:rsidP="00196011">
      <w:pPr>
        <w:spacing w:after="0"/>
        <w:jc w:val="both"/>
        <w:rPr>
          <w:rFonts w:ascii="Century Gothic" w:hAnsi="Century Gothic"/>
          <w:b/>
        </w:rPr>
      </w:pPr>
      <w:r w:rsidRPr="00CE6E62">
        <w:rPr>
          <w:rFonts w:ascii="Century Gothic" w:hAnsi="Century Gothic"/>
          <w:b/>
        </w:rPr>
        <w:lastRenderedPageBreak/>
        <w:t>BANCO INTERNACIONAL DE RECONSTRUCCIÓN Y FOMENTO</w:t>
      </w:r>
    </w:p>
    <w:p w14:paraId="6CCE8238" w14:textId="77777777" w:rsidR="00196011" w:rsidRPr="00196011" w:rsidRDefault="00196011" w:rsidP="00196011">
      <w:pPr>
        <w:spacing w:after="0"/>
        <w:jc w:val="both"/>
        <w:rPr>
          <w:rFonts w:ascii="Century Gothic" w:hAnsi="Century Gothic"/>
        </w:rPr>
      </w:pPr>
      <w:r w:rsidRPr="00196011">
        <w:rPr>
          <w:rFonts w:ascii="Century Gothic" w:hAnsi="Century Gothic"/>
        </w:rPr>
        <w:t>El Banco Internacional de Reconstrucción y Fomento (BIRF) es una cooperativa internacional dedicada al desarrollo, propiedad de los 189 países que lo integran. Como el mayor banco de desarrollo del mundo, el BIRF apoya la misión del Grupo Banco Mundial, proporcionando préstamos, garantías, productos de gestión de riesgos, y servicios de asesoría a los países de ingreso mediano y a los países de ingreso bajo con capacidad crediticia, y coordinando, además, las respuestas ante los desafíos mundiales y regionales.</w:t>
      </w:r>
    </w:p>
    <w:p w14:paraId="49669DCC" w14:textId="77777777" w:rsidR="00196011" w:rsidRDefault="00196011" w:rsidP="00196011">
      <w:pPr>
        <w:spacing w:after="0"/>
        <w:jc w:val="both"/>
        <w:rPr>
          <w:rFonts w:ascii="Century Gothic" w:hAnsi="Century Gothic"/>
        </w:rPr>
      </w:pPr>
      <w:r w:rsidRPr="00196011">
        <w:rPr>
          <w:rFonts w:ascii="Century Gothic" w:hAnsi="Century Gothic"/>
        </w:rPr>
        <w:t>Fue fundado en 1944 para ayudar a la reconstrucción de Europa después de la Segunda Guerra Mundial. El BIRF, junto con la Asociación Internacional de Fomento (AIF) —el fondo para los países más pobres—conforma el Banco Mundial. Ambos colaboran estrechamente con las otras instituciones integrantes del Grupo Banco Mundial y con los sectores público y privado para reducir la pobreza y promover la prosperidad compartida en los países en desarrollo.</w:t>
      </w:r>
    </w:p>
    <w:p w14:paraId="00C073E7" w14:textId="77777777" w:rsidR="00196011" w:rsidRPr="00196011" w:rsidRDefault="00196011" w:rsidP="00196011">
      <w:pPr>
        <w:spacing w:after="0"/>
        <w:jc w:val="both"/>
        <w:rPr>
          <w:rFonts w:ascii="Century Gothic" w:hAnsi="Century Gothic"/>
          <w:b/>
        </w:rPr>
      </w:pPr>
      <w:r w:rsidRPr="00196011">
        <w:rPr>
          <w:rFonts w:ascii="Century Gothic" w:hAnsi="Century Gothic"/>
          <w:b/>
        </w:rPr>
        <w:t>Un asociado de los países de ingreso mediano</w:t>
      </w:r>
    </w:p>
    <w:p w14:paraId="722B21C2" w14:textId="77777777" w:rsidR="00196011" w:rsidRPr="00196011" w:rsidRDefault="00196011" w:rsidP="00196011">
      <w:pPr>
        <w:spacing w:after="0"/>
        <w:jc w:val="both"/>
        <w:rPr>
          <w:rFonts w:ascii="Century Gothic" w:hAnsi="Century Gothic"/>
        </w:rPr>
      </w:pPr>
      <w:r w:rsidRPr="00196011">
        <w:rPr>
          <w:rFonts w:ascii="Century Gothic" w:hAnsi="Century Gothic"/>
        </w:rPr>
        <w:t>El Grupo Banco Mundial interactúa con los países de ingreso mediano tanto en su calidad de clientes como de accionistas. Estos países son los principales impulsores del crecimiento mundial, en ellos se realizan las mayores inversiones en infraestructura, y reciben un gran porcentaje de las exportaciones provenientes de las economías avanzadas y de los países pobres. Muchos de ellos están logrando un rápido progreso económico y social, y cumplen una función cada vez más importante en la búsqueda de soluciones para los desafíos mundiales.</w:t>
      </w:r>
    </w:p>
    <w:p w14:paraId="7BBAFC32" w14:textId="77777777" w:rsidR="00196011" w:rsidRPr="00196011" w:rsidRDefault="00196011" w:rsidP="00196011">
      <w:pPr>
        <w:spacing w:after="0"/>
        <w:jc w:val="both"/>
        <w:rPr>
          <w:rFonts w:ascii="Century Gothic" w:hAnsi="Century Gothic"/>
        </w:rPr>
      </w:pPr>
      <w:r w:rsidRPr="00196011">
        <w:rPr>
          <w:rFonts w:ascii="Century Gothic" w:hAnsi="Century Gothic"/>
        </w:rPr>
        <w:t>Pero en los países de ingreso mediano vive más del 70 % de los pobres del mundo, con frecuencia en zonas remotas. Y el limitado acceso al financiamiento privado, los hace más vulnerables a las crisis económicas y transfronterizas, tales como el cambio climático, la migración forzada y las pandemias. El Banco Mundial es un asociado esencial de los países de ingreso mediano, que representan más del 60 % de la cartera del BIRF.</w:t>
      </w:r>
    </w:p>
    <w:p w14:paraId="4F6A051F" w14:textId="77777777" w:rsidR="00196011" w:rsidRPr="00196011" w:rsidRDefault="00196011" w:rsidP="00196011">
      <w:pPr>
        <w:spacing w:after="0"/>
        <w:jc w:val="both"/>
        <w:rPr>
          <w:rFonts w:ascii="Century Gothic" w:hAnsi="Century Gothic"/>
        </w:rPr>
      </w:pPr>
      <w:r w:rsidRPr="00196011">
        <w:rPr>
          <w:rFonts w:ascii="Century Gothic" w:hAnsi="Century Gothic"/>
        </w:rPr>
        <w:t>El BIRF proporciona una combinación de recursos financieros y servicios de conocimiento y asistencia técnica.</w:t>
      </w:r>
    </w:p>
    <w:p w14:paraId="315352F3" w14:textId="77777777" w:rsidR="00196011" w:rsidRPr="00196011" w:rsidRDefault="00196011" w:rsidP="00196011">
      <w:pPr>
        <w:spacing w:after="0"/>
        <w:jc w:val="both"/>
        <w:rPr>
          <w:rFonts w:ascii="Century Gothic" w:hAnsi="Century Gothic"/>
        </w:rPr>
      </w:pPr>
      <w:r w:rsidRPr="00196011">
        <w:rPr>
          <w:rFonts w:ascii="Century Gothic" w:hAnsi="Century Gothic"/>
        </w:rPr>
        <w:t>La asesoría estratégica que presta el BIRF ayuda a impulsar las reformas de los Gobiernos dirigidas a mejorar los servicios, incentivar el aumento de la inversión privada, y fomentar la innovación y el intercambio de soluciones.</w:t>
      </w:r>
    </w:p>
    <w:p w14:paraId="64A20233" w14:textId="77777777" w:rsidR="00196011" w:rsidRPr="00196011" w:rsidRDefault="00196011" w:rsidP="00196011">
      <w:pPr>
        <w:spacing w:after="0"/>
        <w:jc w:val="both"/>
        <w:rPr>
          <w:rFonts w:ascii="Century Gothic" w:hAnsi="Century Gothic"/>
        </w:rPr>
      </w:pPr>
      <w:r w:rsidRPr="00196011">
        <w:rPr>
          <w:rFonts w:ascii="Century Gothic" w:hAnsi="Century Gothic"/>
        </w:rPr>
        <w:t>El BIRF se asocia con los países cuando surgen nuevos desafíos y a medida que dichos desafíos evolucionan, proporcionando a los países productos financieros innovadores y una amplia gama de foros mundiales.</w:t>
      </w:r>
    </w:p>
    <w:p w14:paraId="363B5B22" w14:textId="77777777" w:rsidR="00196011" w:rsidRDefault="00196011" w:rsidP="00196011">
      <w:pPr>
        <w:spacing w:after="0"/>
        <w:jc w:val="both"/>
        <w:rPr>
          <w:rFonts w:ascii="Century Gothic" w:hAnsi="Century Gothic"/>
        </w:rPr>
      </w:pPr>
      <w:r w:rsidRPr="00196011">
        <w:rPr>
          <w:rFonts w:ascii="Century Gothic" w:hAnsi="Century Gothic"/>
        </w:rPr>
        <w:t>Sobre todo, el BIRF ayuda a asegurar que los avances en materia de reducción de la pobreza y aumento de la prosperidad sean sostenibles. Pone especial énfasis en el apoyo a los países de ingreso mediano bajo a medida que avanzan en la cadena económica, y se gradúan de la AIF para convertirse en clientes del BIRF. También está ampliando su capacidad para ayudar a los países que enfrentan situaciones de conflicto y fragilidad; y, en su calidad de asociado de largo plazo, el BIRF aumenta su apoyo a todos los países de ingreso</w:t>
      </w:r>
      <w:r>
        <w:rPr>
          <w:rFonts w:ascii="Century Gothic" w:hAnsi="Century Gothic"/>
        </w:rPr>
        <w:t xml:space="preserve"> mediano en tiempos de crisis.</w:t>
      </w:r>
    </w:p>
    <w:p w14:paraId="1E2403D1" w14:textId="77777777" w:rsidR="00196011" w:rsidRDefault="00196011" w:rsidP="00196011">
      <w:pPr>
        <w:spacing w:after="0"/>
        <w:jc w:val="both"/>
        <w:rPr>
          <w:rFonts w:ascii="Century Gothic" w:hAnsi="Century Gothic"/>
        </w:rPr>
      </w:pPr>
      <w:r w:rsidRPr="00196011">
        <w:rPr>
          <w:rFonts w:ascii="Century Gothic" w:hAnsi="Century Gothic"/>
          <w:b/>
        </w:rPr>
        <w:lastRenderedPageBreak/>
        <w:t>Servicios del BIRF</w:t>
      </w:r>
    </w:p>
    <w:p w14:paraId="66B321F2" w14:textId="77777777" w:rsidR="00196011" w:rsidRDefault="00196011" w:rsidP="00196011">
      <w:pPr>
        <w:spacing w:after="0"/>
        <w:jc w:val="both"/>
        <w:rPr>
          <w:rFonts w:ascii="Century Gothic" w:hAnsi="Century Gothic"/>
        </w:rPr>
      </w:pPr>
      <w:r w:rsidRPr="00196011">
        <w:rPr>
          <w:rFonts w:ascii="Century Gothic" w:hAnsi="Century Gothic"/>
        </w:rPr>
        <w:t xml:space="preserve">El BIRF, a través de su asociación con los países de ingreso mediano y los países pobres con capacidad crediticia, ofrece soluciones financieras innovadoras, tales como productos financieros (préstamos, garantías y productos de gestión de riesgos) y servicios de conocimiento y asesoría (incluidos servicios reembolsables) a los Gobiernos </w:t>
      </w:r>
      <w:r>
        <w:rPr>
          <w:rFonts w:ascii="Century Gothic" w:hAnsi="Century Gothic"/>
        </w:rPr>
        <w:t>a nivel nacional y subnacional.</w:t>
      </w:r>
    </w:p>
    <w:p w14:paraId="012A2386" w14:textId="77777777" w:rsidR="00196011" w:rsidRDefault="00196011" w:rsidP="00196011">
      <w:pPr>
        <w:spacing w:after="0"/>
        <w:jc w:val="both"/>
        <w:rPr>
          <w:rFonts w:ascii="Century Gothic" w:hAnsi="Century Gothic"/>
        </w:rPr>
      </w:pPr>
      <w:r w:rsidRPr="00196011">
        <w:rPr>
          <w:rFonts w:ascii="Century Gothic" w:hAnsi="Century Gothic"/>
        </w:rPr>
        <w:t>El BIRF financia inversiones en todos los sectores y proporciona asistencia y conocimientos técnicos en todas las etapas de los proyectos. Los recursos del BIRF no solo se destinan a proporcionar financiamiento a los países prestatarios que lo necesitan, sino también sirven como un vehículo para transferir conocimientos mundiales y asisten</w:t>
      </w:r>
      <w:r>
        <w:rPr>
          <w:rFonts w:ascii="Century Gothic" w:hAnsi="Century Gothic"/>
        </w:rPr>
        <w:t>cia técnica.</w:t>
      </w:r>
    </w:p>
    <w:p w14:paraId="48A180A7" w14:textId="77777777" w:rsidR="00196011" w:rsidRPr="00196011" w:rsidRDefault="00196011" w:rsidP="00196011">
      <w:pPr>
        <w:spacing w:after="0"/>
        <w:jc w:val="both"/>
        <w:rPr>
          <w:rFonts w:ascii="Century Gothic" w:hAnsi="Century Gothic"/>
        </w:rPr>
      </w:pPr>
      <w:r w:rsidRPr="00196011">
        <w:rPr>
          <w:rFonts w:ascii="Century Gothic" w:hAnsi="Century Gothic"/>
        </w:rPr>
        <w:t>Los servicios de asesoría sobre gestión de la deuda pública (i) y gestión de activos (i) ayudan a los Gobiernos, los organismos oficiales y las organizaciones de desarrollo a fortalecer la capacidad institucional para proteger y aumentar los recursos financieros.</w:t>
      </w:r>
    </w:p>
    <w:p w14:paraId="76D1709D" w14:textId="77777777" w:rsidR="00196011" w:rsidRDefault="00196011" w:rsidP="00196011">
      <w:pPr>
        <w:spacing w:after="0"/>
        <w:jc w:val="both"/>
        <w:rPr>
          <w:rFonts w:ascii="Century Gothic" w:hAnsi="Century Gothic"/>
        </w:rPr>
      </w:pPr>
      <w:r w:rsidRPr="00196011">
        <w:rPr>
          <w:rFonts w:ascii="Century Gothic" w:hAnsi="Century Gothic"/>
        </w:rPr>
        <w:t xml:space="preserve">El BIRF respalda los esfuerzos de los Gobiernos dirigidos a fortalecer la gestión financiera </w:t>
      </w:r>
      <w:r w:rsidR="008A7B1D" w:rsidRPr="00196011">
        <w:rPr>
          <w:rFonts w:ascii="Century Gothic" w:hAnsi="Century Gothic"/>
        </w:rPr>
        <w:t>pública,</w:t>
      </w:r>
      <w:r w:rsidRPr="00196011">
        <w:rPr>
          <w:rFonts w:ascii="Century Gothic" w:hAnsi="Century Gothic"/>
        </w:rPr>
        <w:t xml:space="preserve"> así como a mejorar el clima para la inversión, abordar los embotellamientos en la prestación de servicios y fortalecer las políticas y las instituciones.</w:t>
      </w:r>
    </w:p>
    <w:p w14:paraId="5BDA3C8E" w14:textId="77777777" w:rsidR="00196011" w:rsidRPr="00196011" w:rsidRDefault="00196011" w:rsidP="00196011">
      <w:pPr>
        <w:spacing w:after="0"/>
        <w:jc w:val="both"/>
        <w:rPr>
          <w:rFonts w:ascii="Century Gothic" w:hAnsi="Century Gothic"/>
        </w:rPr>
      </w:pPr>
      <w:r w:rsidRPr="00CE6E62">
        <w:rPr>
          <w:rFonts w:ascii="Century Gothic" w:hAnsi="Century Gothic"/>
          <w:b/>
        </w:rPr>
        <w:t>Cómo se financia el</w:t>
      </w:r>
      <w:r w:rsidRPr="00196011">
        <w:rPr>
          <w:rFonts w:ascii="Century Gothic" w:hAnsi="Century Gothic"/>
        </w:rPr>
        <w:t xml:space="preserve"> </w:t>
      </w:r>
      <w:r w:rsidRPr="00CE6E62">
        <w:rPr>
          <w:rFonts w:ascii="Century Gothic" w:hAnsi="Century Gothic"/>
          <w:b/>
        </w:rPr>
        <w:t>BIRF</w:t>
      </w:r>
    </w:p>
    <w:p w14:paraId="5E5207CC" w14:textId="77777777" w:rsidR="00196011" w:rsidRPr="00196011" w:rsidRDefault="00196011" w:rsidP="00196011">
      <w:pPr>
        <w:spacing w:after="0"/>
        <w:jc w:val="both"/>
        <w:rPr>
          <w:rFonts w:ascii="Century Gothic" w:hAnsi="Century Gothic"/>
        </w:rPr>
      </w:pPr>
    </w:p>
    <w:p w14:paraId="0C0212C0" w14:textId="77777777" w:rsidR="00196011" w:rsidRPr="00196011" w:rsidRDefault="00196011" w:rsidP="00196011">
      <w:pPr>
        <w:spacing w:after="0"/>
        <w:jc w:val="both"/>
        <w:rPr>
          <w:rFonts w:ascii="Century Gothic" w:hAnsi="Century Gothic"/>
        </w:rPr>
      </w:pPr>
      <w:r w:rsidRPr="00196011">
        <w:rPr>
          <w:rFonts w:ascii="Century Gothic" w:hAnsi="Century Gothic"/>
        </w:rPr>
        <w:t>La mayor parte de los fondos del BIRF se recauda en los mercados financieros mundiales. Esto ha permitido otorgar más de USD 500 000 millones en préstamos para ayudar a aliviar la pobreza en todo el mundo desde 1946: Los Gobiernos accionistas han comprometido alrededor de USD 14 000 millones en capital.</w:t>
      </w:r>
    </w:p>
    <w:p w14:paraId="469609F8" w14:textId="77777777" w:rsidR="00196011" w:rsidRPr="00196011" w:rsidRDefault="00196011" w:rsidP="00196011">
      <w:pPr>
        <w:spacing w:after="0"/>
        <w:jc w:val="both"/>
        <w:rPr>
          <w:rFonts w:ascii="Century Gothic" w:hAnsi="Century Gothic"/>
        </w:rPr>
      </w:pPr>
    </w:p>
    <w:p w14:paraId="05094E1B" w14:textId="77777777" w:rsidR="00196011" w:rsidRPr="00196011" w:rsidRDefault="00196011" w:rsidP="00196011">
      <w:pPr>
        <w:spacing w:after="0"/>
        <w:jc w:val="both"/>
        <w:rPr>
          <w:rFonts w:ascii="Century Gothic" w:hAnsi="Century Gothic"/>
        </w:rPr>
      </w:pPr>
      <w:r w:rsidRPr="00196011">
        <w:rPr>
          <w:rFonts w:ascii="Century Gothic" w:hAnsi="Century Gothic"/>
        </w:rPr>
        <w:t>El BIRF ha mantenido una clasificación crediticia AAA desde 1959. Esta alta clasificación le ha permitido otorgar préstamos a bajo costo y ofrecer a los países de ingreso mediano acceso a capital en condiciones favorables, ayudando así a garantizar que los proyectos de desarrollo avancen de manera más sostenible y a complementar o movilizar el financiamiento privado.</w:t>
      </w:r>
    </w:p>
    <w:p w14:paraId="51062192" w14:textId="77777777" w:rsidR="00196011" w:rsidRPr="00196011" w:rsidRDefault="00196011" w:rsidP="00196011">
      <w:pPr>
        <w:spacing w:after="0"/>
        <w:jc w:val="both"/>
        <w:rPr>
          <w:rFonts w:ascii="Century Gothic" w:hAnsi="Century Gothic"/>
        </w:rPr>
      </w:pPr>
    </w:p>
    <w:p w14:paraId="7342CDFB" w14:textId="77777777" w:rsidR="00196011" w:rsidRPr="00196011" w:rsidRDefault="00196011" w:rsidP="00196011">
      <w:pPr>
        <w:spacing w:after="0"/>
        <w:jc w:val="both"/>
        <w:rPr>
          <w:rFonts w:ascii="Century Gothic" w:hAnsi="Century Gothic"/>
        </w:rPr>
      </w:pPr>
      <w:r w:rsidRPr="00196011">
        <w:rPr>
          <w:rFonts w:ascii="Century Gothic" w:hAnsi="Century Gothic"/>
        </w:rPr>
        <w:t>El BIRF genera ingresos anuales a partir de la rentabilidad de su capital accionario y del pequeño margen que obtiene de los préstamos. Estos ingresos se usan para pagar los gastos operativos del Banco Mundial, aumentar las reservas que sirven para fortalecer el balance y realizar una transferencia anual a la AIF, el fondo para los países más pobres.</w:t>
      </w:r>
    </w:p>
    <w:p w14:paraId="64E4FE42" w14:textId="77777777" w:rsidR="00196011" w:rsidRDefault="00196011" w:rsidP="00196011">
      <w:pPr>
        <w:spacing w:after="0"/>
        <w:jc w:val="both"/>
        <w:rPr>
          <w:rFonts w:ascii="Century Gothic" w:hAnsi="Century Gothic"/>
        </w:rPr>
      </w:pPr>
    </w:p>
    <w:p w14:paraId="3FFB0F5B" w14:textId="77777777" w:rsidR="00C4797A" w:rsidRDefault="00C4797A" w:rsidP="00196011">
      <w:pPr>
        <w:spacing w:after="0"/>
        <w:jc w:val="both"/>
        <w:rPr>
          <w:rFonts w:ascii="Century Gothic" w:hAnsi="Century Gothic"/>
        </w:rPr>
      </w:pPr>
    </w:p>
    <w:p w14:paraId="1D88E6AF" w14:textId="77777777" w:rsidR="00C4797A" w:rsidRDefault="00C4797A" w:rsidP="00196011">
      <w:pPr>
        <w:spacing w:after="0"/>
        <w:jc w:val="both"/>
        <w:rPr>
          <w:rFonts w:ascii="Century Gothic" w:hAnsi="Century Gothic"/>
        </w:rPr>
      </w:pPr>
    </w:p>
    <w:p w14:paraId="28068C23" w14:textId="77777777" w:rsidR="00C4797A" w:rsidRDefault="00C4797A" w:rsidP="00196011">
      <w:pPr>
        <w:spacing w:after="0"/>
        <w:jc w:val="both"/>
        <w:rPr>
          <w:rFonts w:ascii="Century Gothic" w:hAnsi="Century Gothic"/>
        </w:rPr>
      </w:pPr>
    </w:p>
    <w:p w14:paraId="1E3AD5E9" w14:textId="77777777" w:rsidR="00C4797A" w:rsidRDefault="00C4797A" w:rsidP="00196011">
      <w:pPr>
        <w:spacing w:after="0"/>
        <w:jc w:val="both"/>
        <w:rPr>
          <w:rFonts w:ascii="Century Gothic" w:hAnsi="Century Gothic"/>
        </w:rPr>
      </w:pPr>
    </w:p>
    <w:p w14:paraId="522D1227" w14:textId="77777777" w:rsidR="00C4797A" w:rsidRDefault="00C4797A" w:rsidP="00196011">
      <w:pPr>
        <w:spacing w:after="0"/>
        <w:jc w:val="both"/>
        <w:rPr>
          <w:rFonts w:ascii="Century Gothic" w:hAnsi="Century Gothic"/>
        </w:rPr>
      </w:pPr>
    </w:p>
    <w:p w14:paraId="261E3916" w14:textId="77777777" w:rsidR="008A7B1D" w:rsidRDefault="008A7B1D" w:rsidP="00CE6E62">
      <w:pPr>
        <w:spacing w:after="0"/>
        <w:jc w:val="center"/>
        <w:rPr>
          <w:rFonts w:ascii="Century Gothic" w:hAnsi="Century Gothic"/>
        </w:rPr>
      </w:pPr>
    </w:p>
    <w:p w14:paraId="7080CF71" w14:textId="77777777" w:rsidR="00C4797A" w:rsidRPr="00CE6E62" w:rsidRDefault="00C4797A" w:rsidP="00CE6E62">
      <w:pPr>
        <w:spacing w:after="0"/>
        <w:jc w:val="center"/>
        <w:rPr>
          <w:rFonts w:ascii="Century Gothic" w:hAnsi="Century Gothic"/>
          <w:b/>
          <w:sz w:val="24"/>
          <w:szCs w:val="24"/>
        </w:rPr>
      </w:pPr>
      <w:r w:rsidRPr="00CE6E62">
        <w:rPr>
          <w:rFonts w:ascii="Century Gothic" w:hAnsi="Century Gothic"/>
          <w:b/>
          <w:sz w:val="24"/>
          <w:szCs w:val="24"/>
        </w:rPr>
        <w:lastRenderedPageBreak/>
        <w:t>ACERCA DEL BID</w:t>
      </w:r>
    </w:p>
    <w:p w14:paraId="18A302B6" w14:textId="77777777" w:rsidR="00C4797A" w:rsidRPr="00C4797A" w:rsidRDefault="00C4797A" w:rsidP="00C4797A">
      <w:pPr>
        <w:spacing w:after="0"/>
        <w:jc w:val="both"/>
        <w:rPr>
          <w:rFonts w:ascii="Century Gothic" w:hAnsi="Century Gothic"/>
        </w:rPr>
      </w:pPr>
      <w:r w:rsidRPr="00C4797A">
        <w:rPr>
          <w:rFonts w:ascii="Century Gothic" w:hAnsi="Century Gothic"/>
        </w:rPr>
        <w:t>Trabajamos para mejorar la calidad de vida en América Latina y el Caribe. Ayudamos a mejorar la salud, la educación y la infraestructura a través del apoyo financiero y técnico a los países que trabajan para reducir la pobreza y la desigualdad. Nuestro objetivo es alcanzar el desarrollo de una manera sostenible y respetuosa con el clima. Con una historia que se remonta a 1959, hoy somos la principal fuente de financiamiento para el desarrollo para América Latina y el Caribe. Ofrecemos préstamos, donaciones y asistencia técnica; y realizamos amplias investigaciones. Mantenemos un firme compromiso con la consecución de resultados medibles y los más altos estándares de integridad, transparencia y rendición de cuentas.</w:t>
      </w:r>
    </w:p>
    <w:p w14:paraId="40ABBFE2" w14:textId="77777777" w:rsidR="00C4797A" w:rsidRPr="00C4797A" w:rsidRDefault="00C4797A" w:rsidP="00C4797A">
      <w:pPr>
        <w:spacing w:after="0"/>
        <w:jc w:val="both"/>
        <w:rPr>
          <w:rFonts w:ascii="Century Gothic" w:hAnsi="Century Gothic"/>
        </w:rPr>
      </w:pPr>
    </w:p>
    <w:p w14:paraId="17ED0AAF" w14:textId="77777777" w:rsidR="00C4797A" w:rsidRDefault="00C4797A" w:rsidP="00C4797A">
      <w:pPr>
        <w:spacing w:after="0"/>
        <w:jc w:val="both"/>
        <w:rPr>
          <w:rFonts w:ascii="Century Gothic" w:hAnsi="Century Gothic"/>
        </w:rPr>
      </w:pPr>
      <w:r w:rsidRPr="00C4797A">
        <w:rPr>
          <w:rFonts w:ascii="Century Gothic" w:hAnsi="Century Gothic"/>
        </w:rPr>
        <w:t>Los temas actuales prioritarios del Banco incluyen tres retos de desarrollo – inclusión social y e igualdad, productividad e innovación e integración económica – y tres temas transversales – igualdad de género, cambio climático y sostenibilidad ambiental, y capacidad institucional y estado derecho.</w:t>
      </w:r>
    </w:p>
    <w:p w14:paraId="7BBF9D48" w14:textId="77777777" w:rsidR="00CE6E62" w:rsidRDefault="00CE6E62" w:rsidP="00C4797A">
      <w:pPr>
        <w:spacing w:after="0"/>
        <w:jc w:val="both"/>
        <w:rPr>
          <w:rFonts w:ascii="Century Gothic" w:hAnsi="Century Gothic"/>
        </w:rPr>
      </w:pPr>
    </w:p>
    <w:p w14:paraId="0101DED4" w14:textId="77777777" w:rsidR="00CE6E62" w:rsidRPr="00CE6E62" w:rsidRDefault="00CE6E62" w:rsidP="00CE6E62">
      <w:pPr>
        <w:spacing w:after="0"/>
        <w:jc w:val="center"/>
        <w:rPr>
          <w:rFonts w:ascii="Century Gothic" w:hAnsi="Century Gothic"/>
          <w:b/>
          <w:sz w:val="24"/>
          <w:szCs w:val="24"/>
        </w:rPr>
      </w:pPr>
      <w:r w:rsidRPr="00CE6E62">
        <w:rPr>
          <w:rFonts w:ascii="Century Gothic" w:hAnsi="Century Gothic"/>
          <w:b/>
          <w:sz w:val="24"/>
          <w:szCs w:val="24"/>
        </w:rPr>
        <w:t>Teoría keynesiana</w:t>
      </w:r>
    </w:p>
    <w:p w14:paraId="3FCE0E4F" w14:textId="77777777" w:rsidR="00CE6E62" w:rsidRPr="00CE6E62" w:rsidRDefault="00CE6E62" w:rsidP="00CE6E62">
      <w:pPr>
        <w:spacing w:after="0"/>
        <w:jc w:val="both"/>
        <w:rPr>
          <w:rFonts w:ascii="Century Gothic" w:hAnsi="Century Gothic"/>
          <w:b/>
        </w:rPr>
      </w:pPr>
      <w:r w:rsidRPr="00CE6E62">
        <w:rPr>
          <w:rFonts w:ascii="Century Gothic" w:hAnsi="Century Gothic"/>
          <w:b/>
        </w:rPr>
        <w:t>1) DEFINICIONES BÁSICAS</w:t>
      </w:r>
    </w:p>
    <w:p w14:paraId="5F07B561" w14:textId="77777777" w:rsidR="00CE6E62" w:rsidRPr="00CE6E62" w:rsidRDefault="00CE6E62" w:rsidP="00CE6E62">
      <w:pPr>
        <w:spacing w:after="0"/>
        <w:jc w:val="both"/>
        <w:rPr>
          <w:rFonts w:ascii="Century Gothic" w:hAnsi="Century Gothic"/>
        </w:rPr>
      </w:pPr>
      <w:r w:rsidRPr="00CE6E62">
        <w:rPr>
          <w:rFonts w:ascii="Century Gothic" w:hAnsi="Century Gothic"/>
        </w:rPr>
        <w:t>CONSUMO: es el intercambio de bienes (generalmente se intercambia dinero o tiempo por cosas y/o servicios) para obtener una utilidad personal derivada de la satisfacción de necesidades.</w:t>
      </w:r>
    </w:p>
    <w:p w14:paraId="45C636E2" w14:textId="77777777" w:rsidR="00CE6E62" w:rsidRPr="00CE6E62" w:rsidRDefault="00CE6E62" w:rsidP="00CE6E62">
      <w:pPr>
        <w:spacing w:after="0"/>
        <w:jc w:val="both"/>
        <w:rPr>
          <w:rFonts w:ascii="Century Gothic" w:hAnsi="Century Gothic"/>
        </w:rPr>
      </w:pPr>
      <w:r w:rsidRPr="00CE6E62">
        <w:rPr>
          <w:rFonts w:ascii="Century Gothic" w:hAnsi="Century Gothic"/>
        </w:rPr>
        <w:t>INVERSION: Es la aplicación de recursos financieros destinados a incrementar</w:t>
      </w:r>
    </w:p>
    <w:p w14:paraId="6034647A" w14:textId="77777777" w:rsidR="00CE6E62" w:rsidRPr="00CE6E62" w:rsidRDefault="00CE6E62" w:rsidP="00CE6E62">
      <w:pPr>
        <w:spacing w:after="0"/>
        <w:jc w:val="both"/>
        <w:rPr>
          <w:rFonts w:ascii="Century Gothic" w:hAnsi="Century Gothic"/>
        </w:rPr>
      </w:pPr>
      <w:r w:rsidRPr="00CE6E62">
        <w:rPr>
          <w:rFonts w:ascii="Century Gothic" w:hAnsi="Century Gothic"/>
        </w:rPr>
        <w:t>los activos fijos o financieros de una entidad. Ejemplo: maquinaria, equipo, obras públicas, bonos, títulos, valores, etc. Comprende la formación bruta de capital fijo y la variación de existencias de bienes generados en el interior de una economía.</w:t>
      </w:r>
    </w:p>
    <w:p w14:paraId="54FF7722" w14:textId="77777777" w:rsidR="00CE6E62" w:rsidRPr="00CE6E62" w:rsidRDefault="00CE6E62" w:rsidP="00CE6E62">
      <w:pPr>
        <w:spacing w:after="0"/>
        <w:jc w:val="both"/>
        <w:rPr>
          <w:rFonts w:ascii="Century Gothic" w:hAnsi="Century Gothic"/>
          <w:b/>
        </w:rPr>
      </w:pPr>
      <w:r w:rsidRPr="00CE6E62">
        <w:rPr>
          <w:rFonts w:ascii="Century Gothic" w:hAnsi="Century Gothic"/>
          <w:b/>
        </w:rPr>
        <w:t>EL CONSUMO Y EL AHORRO</w:t>
      </w:r>
    </w:p>
    <w:p w14:paraId="678A32E2" w14:textId="77777777" w:rsidR="00CE6E62" w:rsidRPr="00CE6E62" w:rsidRDefault="00CE6E62" w:rsidP="00CE6E62">
      <w:pPr>
        <w:spacing w:after="0"/>
        <w:jc w:val="both"/>
        <w:rPr>
          <w:rFonts w:ascii="Century Gothic" w:hAnsi="Century Gothic"/>
        </w:rPr>
      </w:pPr>
      <w:r w:rsidRPr="00CE6E62">
        <w:rPr>
          <w:rFonts w:ascii="Century Gothic" w:hAnsi="Century Gothic"/>
        </w:rPr>
        <w:t xml:space="preserve">El consumo es el mayor componente del PNB y </w:t>
      </w:r>
      <w:r>
        <w:rPr>
          <w:rFonts w:ascii="Century Gothic" w:hAnsi="Century Gothic"/>
        </w:rPr>
        <w:t xml:space="preserve">los </w:t>
      </w:r>
      <w:r w:rsidRPr="00CE6E62">
        <w:rPr>
          <w:rFonts w:ascii="Century Gothic" w:hAnsi="Century Gothic"/>
        </w:rPr>
        <w:t>últimos diez años</w:t>
      </w:r>
      <w:r w:rsidRPr="00CE6E62">
        <w:rPr>
          <w:rFonts w:ascii="Century Gothic" w:hAnsi="Century Gothic"/>
        </w:rPr>
        <w:t xml:space="preserve"> ha representado en Estados Unidos el 66%del gasto total.</w:t>
      </w:r>
    </w:p>
    <w:p w14:paraId="3BCEF8A5" w14:textId="77777777" w:rsidR="00CE6E62" w:rsidRPr="00CE6E62" w:rsidRDefault="00CE6E62" w:rsidP="00CE6E62">
      <w:pPr>
        <w:spacing w:after="0"/>
        <w:jc w:val="both"/>
        <w:rPr>
          <w:rFonts w:ascii="Century Gothic" w:hAnsi="Century Gothic"/>
        </w:rPr>
      </w:pPr>
      <w:r w:rsidRPr="00CE6E62">
        <w:rPr>
          <w:rFonts w:ascii="Century Gothic" w:hAnsi="Century Gothic"/>
        </w:rPr>
        <w:t>Los principales componentes del consumo</w:t>
      </w:r>
    </w:p>
    <w:p w14:paraId="0E25A50A" w14:textId="77777777" w:rsidR="00CE6E62" w:rsidRPr="00CE6E62" w:rsidRDefault="00CE6E62" w:rsidP="00CE6E62">
      <w:pPr>
        <w:spacing w:after="0"/>
        <w:jc w:val="both"/>
        <w:rPr>
          <w:rFonts w:ascii="Century Gothic" w:hAnsi="Century Gothic"/>
        </w:rPr>
      </w:pPr>
      <w:r w:rsidRPr="00CE6E62">
        <w:rPr>
          <w:rFonts w:ascii="Century Gothic" w:hAnsi="Century Gothic"/>
        </w:rPr>
        <w:t xml:space="preserve">El consumo se divide en tres categorías: bienes duraderos, no duraderos y servicios, la magnitud del sector servicio es cada </w:t>
      </w:r>
      <w:r w:rsidRPr="00CE6E62">
        <w:rPr>
          <w:rFonts w:ascii="Century Gothic" w:hAnsi="Century Gothic"/>
        </w:rPr>
        <w:t>vez</w:t>
      </w:r>
      <w:r w:rsidRPr="00CE6E62">
        <w:rPr>
          <w:rFonts w:ascii="Century Gothic" w:hAnsi="Century Gothic"/>
        </w:rPr>
        <w:t xml:space="preserve"> mayor a medida que se satisfacen necesidades básicas de alimentos y sanidad, el esparcimiento y la educación representan una parte mayor de los presupuestos de las familias.</w:t>
      </w:r>
    </w:p>
    <w:p w14:paraId="553934F7" w14:textId="77777777" w:rsidR="00CE6E62" w:rsidRPr="00CE6E62" w:rsidRDefault="00CE6E62" w:rsidP="00CE6E62">
      <w:pPr>
        <w:spacing w:after="0"/>
        <w:jc w:val="both"/>
        <w:rPr>
          <w:rFonts w:ascii="Century Gothic" w:hAnsi="Century Gothic"/>
          <w:b/>
        </w:rPr>
      </w:pPr>
      <w:r w:rsidRPr="00CE6E62">
        <w:rPr>
          <w:rFonts w:ascii="Century Gothic" w:hAnsi="Century Gothic"/>
          <w:b/>
        </w:rPr>
        <w:t>EL CONSUMO, LA RENTA Y EL AHORRO</w:t>
      </w:r>
    </w:p>
    <w:p w14:paraId="0EB1DAC0" w14:textId="77777777" w:rsidR="00CE6E62" w:rsidRPr="00CE6E62" w:rsidRDefault="00CE6E62" w:rsidP="00CE6E62">
      <w:pPr>
        <w:spacing w:after="0"/>
        <w:jc w:val="both"/>
        <w:rPr>
          <w:rFonts w:ascii="Century Gothic" w:hAnsi="Century Gothic"/>
        </w:rPr>
      </w:pPr>
      <w:r w:rsidRPr="00CE6E62">
        <w:rPr>
          <w:rFonts w:ascii="Century Gothic" w:hAnsi="Century Gothic"/>
        </w:rPr>
        <w:t>Existe una estrecha relación entre renta, ahorro y consumo, la relación exacta es muy sencilla. El ahorro es la parte de la renta que no se consume, es decir el ahorro es igual a la renta menos el consumo.</w:t>
      </w:r>
    </w:p>
    <w:p w14:paraId="5821A442" w14:textId="77777777" w:rsidR="00CE6E62" w:rsidRPr="00CE6E62" w:rsidRDefault="00CE6E62" w:rsidP="00CE6E62">
      <w:pPr>
        <w:spacing w:after="0"/>
        <w:jc w:val="both"/>
        <w:rPr>
          <w:rFonts w:ascii="Century Gothic" w:hAnsi="Century Gothic"/>
        </w:rPr>
      </w:pPr>
      <w:r w:rsidRPr="00CE6E62">
        <w:rPr>
          <w:rFonts w:ascii="Century Gothic" w:hAnsi="Century Gothic"/>
        </w:rPr>
        <w:t xml:space="preserve">Los estudios económicos han demostrado que la renta es el principal determinante del consumo y del ahorro. Los ricos ahorran </w:t>
      </w:r>
      <w:r w:rsidRPr="00CE6E62">
        <w:rPr>
          <w:rFonts w:ascii="Century Gothic" w:hAnsi="Century Gothic"/>
        </w:rPr>
        <w:t>más</w:t>
      </w:r>
      <w:r w:rsidRPr="00CE6E62">
        <w:rPr>
          <w:rFonts w:ascii="Century Gothic" w:hAnsi="Century Gothic"/>
        </w:rPr>
        <w:t xml:space="preserve"> que los pobres en términos absolutos como en términos porcentuales las personas pobres no pueden ahorrar nada; </w:t>
      </w:r>
      <w:r w:rsidRPr="00CE6E62">
        <w:rPr>
          <w:rFonts w:ascii="Century Gothic" w:hAnsi="Century Gothic"/>
        </w:rPr>
        <w:t>más</w:t>
      </w:r>
      <w:r w:rsidRPr="00CE6E62">
        <w:rPr>
          <w:rFonts w:ascii="Century Gothic" w:hAnsi="Century Gothic"/>
        </w:rPr>
        <w:t xml:space="preserve"> bien, si tienen alguna riqueza o pueden pedir </w:t>
      </w:r>
      <w:r w:rsidRPr="00CE6E62">
        <w:rPr>
          <w:rFonts w:ascii="Century Gothic" w:hAnsi="Century Gothic"/>
        </w:rPr>
        <w:t>préstamos</w:t>
      </w:r>
      <w:r w:rsidRPr="00CE6E62">
        <w:rPr>
          <w:rFonts w:ascii="Century Gothic" w:hAnsi="Century Gothic"/>
        </w:rPr>
        <w:t xml:space="preserve"> tienden a </w:t>
      </w:r>
      <w:proofErr w:type="spellStart"/>
      <w:r w:rsidRPr="00CE6E62">
        <w:rPr>
          <w:rFonts w:ascii="Century Gothic" w:hAnsi="Century Gothic"/>
        </w:rPr>
        <w:t>desahorrar</w:t>
      </w:r>
      <w:proofErr w:type="spellEnd"/>
      <w:r w:rsidRPr="00CE6E62">
        <w:rPr>
          <w:rFonts w:ascii="Century Gothic" w:hAnsi="Century Gothic"/>
        </w:rPr>
        <w:t xml:space="preserve">. Es </w:t>
      </w:r>
      <w:r w:rsidRPr="00CE6E62">
        <w:rPr>
          <w:rFonts w:ascii="Century Gothic" w:hAnsi="Century Gothic"/>
        </w:rPr>
        <w:t>decir,</w:t>
      </w:r>
      <w:r w:rsidRPr="00CE6E62">
        <w:rPr>
          <w:rFonts w:ascii="Century Gothic" w:hAnsi="Century Gothic"/>
        </w:rPr>
        <w:t xml:space="preserve"> gastar </w:t>
      </w:r>
      <w:r w:rsidRPr="00CE6E62">
        <w:rPr>
          <w:rFonts w:ascii="Century Gothic" w:hAnsi="Century Gothic"/>
        </w:rPr>
        <w:t>más</w:t>
      </w:r>
      <w:r w:rsidRPr="00CE6E62">
        <w:rPr>
          <w:rFonts w:ascii="Century Gothic" w:hAnsi="Century Gothic"/>
        </w:rPr>
        <w:t xml:space="preserve"> de lo que ganan, reduciendo así el ahorro acumulado o endeudándose más.</w:t>
      </w:r>
    </w:p>
    <w:p w14:paraId="1DA74DC6" w14:textId="77777777" w:rsidR="00CE6E62" w:rsidRPr="00CE6E62" w:rsidRDefault="00CE6E62" w:rsidP="00CE6E62">
      <w:pPr>
        <w:spacing w:after="0"/>
        <w:jc w:val="both"/>
        <w:rPr>
          <w:rFonts w:ascii="Century Gothic" w:hAnsi="Century Gothic"/>
          <w:b/>
        </w:rPr>
      </w:pPr>
      <w:r w:rsidRPr="00CE6E62">
        <w:rPr>
          <w:rFonts w:ascii="Century Gothic" w:hAnsi="Century Gothic"/>
          <w:b/>
        </w:rPr>
        <w:lastRenderedPageBreak/>
        <w:t>LA FUNCIÓN DE CONSUMO</w:t>
      </w:r>
    </w:p>
    <w:p w14:paraId="365F5795" w14:textId="77777777" w:rsidR="00CE6E62" w:rsidRPr="00CE6E62" w:rsidRDefault="00CE6E62" w:rsidP="00CE6E62">
      <w:pPr>
        <w:spacing w:after="0"/>
        <w:jc w:val="both"/>
        <w:rPr>
          <w:rFonts w:ascii="Century Gothic" w:hAnsi="Century Gothic"/>
        </w:rPr>
      </w:pPr>
      <w:r w:rsidRPr="00CE6E62">
        <w:rPr>
          <w:rFonts w:ascii="Century Gothic" w:hAnsi="Century Gothic"/>
        </w:rPr>
        <w:t xml:space="preserve">Una de las relaciones </w:t>
      </w:r>
      <w:proofErr w:type="spellStart"/>
      <w:r w:rsidRPr="00CE6E62">
        <w:rPr>
          <w:rFonts w:ascii="Century Gothic" w:hAnsi="Century Gothic"/>
        </w:rPr>
        <w:t>mas</w:t>
      </w:r>
      <w:proofErr w:type="spellEnd"/>
      <w:r w:rsidRPr="00CE6E62">
        <w:rPr>
          <w:rFonts w:ascii="Century Gothic" w:hAnsi="Century Gothic"/>
        </w:rPr>
        <w:t xml:space="preserve"> importantes de toda la macroeconomía es la función de consumo, que muestra la relación entre nivel de gasto y de consumo y el nivel de renta personal disponible.</w:t>
      </w:r>
    </w:p>
    <w:p w14:paraId="02AFC0E1" w14:textId="77777777" w:rsidR="00CE6E62" w:rsidRDefault="00CE6E62" w:rsidP="00CE6E62">
      <w:pPr>
        <w:spacing w:after="0"/>
        <w:jc w:val="both"/>
        <w:rPr>
          <w:rFonts w:ascii="Century Gothic" w:hAnsi="Century Gothic"/>
        </w:rPr>
      </w:pPr>
      <w:r w:rsidRPr="00CE6E62">
        <w:rPr>
          <w:rFonts w:ascii="Century Gothic" w:hAnsi="Century Gothic"/>
        </w:rPr>
        <w:t>Este concepto introducido por Keynes se basa en la hipótesis de que existe una relación empírica estable entre el consumo y renta.</w:t>
      </w:r>
    </w:p>
    <w:p w14:paraId="2B8731BC" w14:textId="77777777" w:rsidR="00CE6E62" w:rsidRPr="00CE6E62" w:rsidRDefault="00CE6E62" w:rsidP="00CE6E62">
      <w:pPr>
        <w:spacing w:after="0"/>
        <w:jc w:val="both"/>
        <w:rPr>
          <w:rFonts w:ascii="Century Gothic" w:hAnsi="Century Gothic"/>
        </w:rPr>
      </w:pPr>
      <w:r>
        <w:rPr>
          <w:noProof/>
          <w:lang w:eastAsia="es-MX"/>
        </w:rPr>
        <w:drawing>
          <wp:inline distT="0" distB="0" distL="0" distR="0" wp14:anchorId="1CEDD551" wp14:editId="6B1D3AAC">
            <wp:extent cx="3628339" cy="2082952"/>
            <wp:effectExtent l="0" t="0" r="0" b="0"/>
            <wp:docPr id="1" name="Imagen 1" descr="http://www.monografias.com/trabajos35/consumo-inversion/Image27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onografias.com/trabajos35/consumo-inversion/Image2754.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39313" cy="2089252"/>
                    </a:xfrm>
                    <a:prstGeom prst="rect">
                      <a:avLst/>
                    </a:prstGeom>
                    <a:noFill/>
                    <a:ln>
                      <a:noFill/>
                    </a:ln>
                  </pic:spPr>
                </pic:pic>
              </a:graphicData>
            </a:graphic>
          </wp:inline>
        </w:drawing>
      </w:r>
    </w:p>
    <w:p w14:paraId="7C8BC366" w14:textId="77777777" w:rsidR="00CE6E62" w:rsidRPr="00CE6E62" w:rsidRDefault="00CE6E62" w:rsidP="00CE6E62">
      <w:pPr>
        <w:spacing w:after="0"/>
        <w:jc w:val="both"/>
        <w:rPr>
          <w:rFonts w:ascii="Century Gothic" w:hAnsi="Century Gothic"/>
        </w:rPr>
      </w:pPr>
    </w:p>
    <w:p w14:paraId="18D4298D" w14:textId="77777777" w:rsidR="00CE6E62" w:rsidRPr="00CE6E62" w:rsidRDefault="00CE6E62" w:rsidP="00CE6E62">
      <w:pPr>
        <w:spacing w:after="0"/>
        <w:jc w:val="both"/>
        <w:rPr>
          <w:rFonts w:ascii="Century Gothic" w:hAnsi="Century Gothic"/>
        </w:rPr>
      </w:pPr>
      <w:r w:rsidRPr="00CE6E62">
        <w:rPr>
          <w:rFonts w:ascii="Century Gothic" w:hAnsi="Century Gothic"/>
        </w:rPr>
        <w:t>Figura A-1.</w:t>
      </w:r>
    </w:p>
    <w:p w14:paraId="1E4AC5B0" w14:textId="77777777" w:rsidR="00CE6E62" w:rsidRPr="00CE6E62" w:rsidRDefault="00CE6E62" w:rsidP="00CE6E62">
      <w:pPr>
        <w:spacing w:after="0"/>
        <w:jc w:val="both"/>
        <w:rPr>
          <w:rFonts w:ascii="Century Gothic" w:hAnsi="Century Gothic"/>
        </w:rPr>
      </w:pPr>
      <w:r w:rsidRPr="00CE6E62">
        <w:rPr>
          <w:rFonts w:ascii="Century Gothic" w:hAnsi="Century Gothic"/>
        </w:rPr>
        <w:t>Representación de la función ingreso</w:t>
      </w:r>
    </w:p>
    <w:p w14:paraId="358EC502" w14:textId="77777777" w:rsidR="00CE6E62" w:rsidRPr="00CE6E62" w:rsidRDefault="00CE6E62" w:rsidP="00CE6E62">
      <w:pPr>
        <w:spacing w:after="0"/>
        <w:jc w:val="both"/>
        <w:rPr>
          <w:rFonts w:ascii="Century Gothic" w:hAnsi="Century Gothic"/>
        </w:rPr>
      </w:pPr>
      <w:r w:rsidRPr="00CE6E62">
        <w:rPr>
          <w:rFonts w:ascii="Century Gothic" w:hAnsi="Century Gothic"/>
        </w:rPr>
        <w:t xml:space="preserve">La curva que pasa por los puntos </w:t>
      </w:r>
      <w:proofErr w:type="gramStart"/>
      <w:r w:rsidRPr="00CE6E62">
        <w:rPr>
          <w:rFonts w:ascii="Century Gothic" w:hAnsi="Century Gothic"/>
        </w:rPr>
        <w:t>A,B</w:t>
      </w:r>
      <w:proofErr w:type="gramEnd"/>
      <w:r w:rsidRPr="00CE6E62">
        <w:rPr>
          <w:rFonts w:ascii="Century Gothic" w:hAnsi="Century Gothic"/>
        </w:rPr>
        <w:t xml:space="preserve">,C...G, es la función de consumo , el eje de abscisas muestra el nivel de renta disponible (RD).la función de consumo muestra el nivel monetario de consumo (C) de la economía </w:t>
      </w:r>
      <w:proofErr w:type="spellStart"/>
      <w:r w:rsidRPr="00CE6E62">
        <w:rPr>
          <w:rFonts w:ascii="Century Gothic" w:hAnsi="Century Gothic"/>
        </w:rPr>
        <w:t>domestica</w:t>
      </w:r>
      <w:proofErr w:type="spellEnd"/>
      <w:r w:rsidRPr="00CE6E62">
        <w:rPr>
          <w:rFonts w:ascii="Century Gothic" w:hAnsi="Century Gothic"/>
        </w:rPr>
        <w:t xml:space="preserve"> correspondiente a cada nivel de RD. Se observa que el consumo aumenta con </w:t>
      </w:r>
      <w:proofErr w:type="gramStart"/>
      <w:r w:rsidRPr="00CE6E62">
        <w:rPr>
          <w:rFonts w:ascii="Century Gothic" w:hAnsi="Century Gothic"/>
        </w:rPr>
        <w:t>la RD</w:t>
      </w:r>
      <w:proofErr w:type="gramEnd"/>
      <w:r w:rsidRPr="00CE6E62">
        <w:rPr>
          <w:rFonts w:ascii="Century Gothic" w:hAnsi="Century Gothic"/>
        </w:rPr>
        <w:t>. La recta de 450 ayuda a localizar el punto de nivelación y a medir a simple vista el ahorro neto.</w:t>
      </w:r>
    </w:p>
    <w:p w14:paraId="4128AFEC" w14:textId="77777777" w:rsidR="00CE6E62" w:rsidRPr="00CE6E62" w:rsidRDefault="00CE6E62" w:rsidP="00CE6E62">
      <w:pPr>
        <w:spacing w:after="0"/>
        <w:jc w:val="both"/>
        <w:rPr>
          <w:rFonts w:ascii="Century Gothic" w:hAnsi="Century Gothic"/>
        </w:rPr>
      </w:pPr>
      <w:r w:rsidRPr="00CE6E62">
        <w:rPr>
          <w:rFonts w:ascii="Century Gothic" w:hAnsi="Century Gothic"/>
        </w:rPr>
        <w:t>B, representa el gasto donde el consumo es exactamente igual a la renta disponible.</w:t>
      </w:r>
    </w:p>
    <w:p w14:paraId="50F1D48A" w14:textId="77777777" w:rsidR="00CE6E62" w:rsidRPr="00CE6E62" w:rsidRDefault="00CE6E62" w:rsidP="00CE6E62">
      <w:pPr>
        <w:spacing w:after="0"/>
        <w:jc w:val="both"/>
        <w:rPr>
          <w:rFonts w:ascii="Century Gothic" w:hAnsi="Century Gothic"/>
          <w:b/>
        </w:rPr>
      </w:pPr>
      <w:r w:rsidRPr="00CE6E62">
        <w:rPr>
          <w:rFonts w:ascii="Century Gothic" w:hAnsi="Century Gothic"/>
          <w:b/>
        </w:rPr>
        <w:t>LA FUNCIÓN DE AHORRO</w:t>
      </w:r>
    </w:p>
    <w:p w14:paraId="687389DF" w14:textId="77777777" w:rsidR="00CE6E62" w:rsidRDefault="00CE6E62" w:rsidP="00CE6E62">
      <w:pPr>
        <w:spacing w:after="0"/>
        <w:jc w:val="both"/>
        <w:rPr>
          <w:rFonts w:ascii="Century Gothic" w:hAnsi="Century Gothic"/>
        </w:rPr>
      </w:pPr>
      <w:r w:rsidRPr="00CE6E62">
        <w:rPr>
          <w:rFonts w:ascii="Century Gothic" w:hAnsi="Century Gothic"/>
        </w:rPr>
        <w:t>La función muestra la relación entre el nivel de ahorro y la renta. Se representa gráficamente en la figura A-2 en la cual mostraremos de nuevo la renta disponible en el eje de abscisas, pero en el de ordenadas ahora representaremos el ahorro neto ya sea una cantidad negativa o positiva.</w:t>
      </w:r>
    </w:p>
    <w:p w14:paraId="337D24C0" w14:textId="77777777" w:rsidR="00CE6E62" w:rsidRPr="00CE6E62" w:rsidRDefault="00CE6E62" w:rsidP="00CE6E62">
      <w:pPr>
        <w:spacing w:after="0"/>
        <w:jc w:val="both"/>
        <w:rPr>
          <w:rFonts w:ascii="Century Gothic" w:hAnsi="Century Gothic"/>
        </w:rPr>
      </w:pPr>
      <w:r>
        <w:rPr>
          <w:noProof/>
          <w:lang w:eastAsia="es-MX"/>
        </w:rPr>
        <w:drawing>
          <wp:inline distT="0" distB="0" distL="0" distR="0" wp14:anchorId="5B60C5CE" wp14:editId="2A914A47">
            <wp:extent cx="3877056" cy="1742594"/>
            <wp:effectExtent l="0" t="0" r="9525" b="0"/>
            <wp:docPr id="2" name="Imagen 2" descr="http://www.monografias.com/trabajos35/consumo-inversion/Image27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onografias.com/trabajos35/consumo-inversion/Image2755.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9074" cy="1747996"/>
                    </a:xfrm>
                    <a:prstGeom prst="rect">
                      <a:avLst/>
                    </a:prstGeom>
                    <a:noFill/>
                    <a:ln>
                      <a:noFill/>
                    </a:ln>
                  </pic:spPr>
                </pic:pic>
              </a:graphicData>
            </a:graphic>
          </wp:inline>
        </w:drawing>
      </w:r>
    </w:p>
    <w:p w14:paraId="62F7B370" w14:textId="77777777" w:rsidR="00CE6E62" w:rsidRPr="00CE6E62" w:rsidRDefault="00CE6E62" w:rsidP="00CE6E62">
      <w:pPr>
        <w:spacing w:after="0"/>
        <w:jc w:val="both"/>
        <w:rPr>
          <w:rFonts w:ascii="Century Gothic" w:hAnsi="Century Gothic"/>
        </w:rPr>
      </w:pPr>
    </w:p>
    <w:p w14:paraId="53ABB9C9" w14:textId="77777777" w:rsidR="00CE6E62" w:rsidRPr="00CE6E62" w:rsidRDefault="00CE6E62" w:rsidP="00CE6E62">
      <w:pPr>
        <w:spacing w:after="0"/>
        <w:jc w:val="both"/>
        <w:rPr>
          <w:rFonts w:ascii="Century Gothic" w:hAnsi="Century Gothic"/>
        </w:rPr>
      </w:pPr>
      <w:r w:rsidRPr="00CE6E62">
        <w:rPr>
          <w:rFonts w:ascii="Century Gothic" w:hAnsi="Century Gothic"/>
        </w:rPr>
        <w:lastRenderedPageBreak/>
        <w:t>La función de ahorro es la imagen simétrica de la función de consumo, esta curva de ahorro se obtiene restando el consumo de la renta. La figura muestra el desahorro directamente, la función de ahorro se encuentra por debajo del eje de abscisas (que corresponde a un nivel de ahorro nulo) en el punto A. Del mismo modo, el ahorro positivo se halla a la derecha del punto b porque la función de ahorro se encuentra por encima del eje que representa el nivel de ahorro.</w:t>
      </w:r>
    </w:p>
    <w:p w14:paraId="7E0335A6" w14:textId="77777777" w:rsidR="00CE6E62" w:rsidRPr="00CE6E62" w:rsidRDefault="00CE6E62" w:rsidP="00CE6E62">
      <w:pPr>
        <w:spacing w:after="0"/>
        <w:jc w:val="both"/>
        <w:rPr>
          <w:rFonts w:ascii="Century Gothic" w:hAnsi="Century Gothic"/>
        </w:rPr>
      </w:pPr>
      <w:r w:rsidRPr="00CE6E62">
        <w:rPr>
          <w:rFonts w:ascii="Century Gothic" w:hAnsi="Century Gothic"/>
        </w:rPr>
        <w:t>Tener esto presente es muy importante para nosotros, sobre todo ahora que estamos tratando de consumo. Si la economía nacional marcha bien, si hay poco paro, si los presupuestos son favorables, la sociedad entera consumirá más. Por otro lado, cuando nosotros consumimos estamos alterando a realidad económica, es decir estamos dentro de ese proceso anteriormente descrito, y nuestra acción de consumir va a repercutir en el conjunto de la economía y de la sociedad.</w:t>
      </w:r>
    </w:p>
    <w:p w14:paraId="5C2E1524" w14:textId="77777777" w:rsidR="00CE6E62" w:rsidRPr="00CE6E62" w:rsidRDefault="00CE6E62" w:rsidP="00CE6E62">
      <w:pPr>
        <w:spacing w:after="0"/>
        <w:jc w:val="both"/>
        <w:rPr>
          <w:rFonts w:ascii="Century Gothic" w:hAnsi="Century Gothic"/>
          <w:b/>
        </w:rPr>
      </w:pPr>
      <w:r w:rsidRPr="00CE6E62">
        <w:rPr>
          <w:rFonts w:ascii="Century Gothic" w:hAnsi="Century Gothic"/>
          <w:b/>
        </w:rPr>
        <w:t>PROPENSIÓN MARGINAL AL CONSUMIR</w:t>
      </w:r>
    </w:p>
    <w:p w14:paraId="6EEDFF62" w14:textId="77777777" w:rsidR="00CE6E62" w:rsidRPr="00CE6E62" w:rsidRDefault="00CE6E62" w:rsidP="00CE6E62">
      <w:pPr>
        <w:spacing w:after="0"/>
        <w:jc w:val="both"/>
        <w:rPr>
          <w:rFonts w:ascii="Century Gothic" w:hAnsi="Century Gothic"/>
        </w:rPr>
      </w:pPr>
      <w:r w:rsidRPr="00CE6E62">
        <w:rPr>
          <w:rFonts w:ascii="Century Gothic" w:hAnsi="Century Gothic"/>
        </w:rPr>
        <w:t>La macroeconomía moderna concede una gran importancia a la respuesta del consuno a las variaciones de la renta. Este concepto se denomina propensión marginal a consumir, es decir es la cantidad adicional que consumen los individuos cuando reciben una unidad adicional de renta. En la macroeconomía la " propensión marginal a consumir" se refiere al nivel deseado de consumo.</w:t>
      </w:r>
    </w:p>
    <w:p w14:paraId="3B6B55BA" w14:textId="77777777" w:rsidR="00CE6E62" w:rsidRPr="00CE6E62" w:rsidRDefault="00CE6E62" w:rsidP="00CE6E62">
      <w:pPr>
        <w:spacing w:after="0"/>
        <w:jc w:val="both"/>
        <w:rPr>
          <w:rFonts w:ascii="Century Gothic" w:hAnsi="Century Gothic"/>
          <w:b/>
        </w:rPr>
      </w:pPr>
      <w:r w:rsidRPr="00CE6E62">
        <w:rPr>
          <w:rFonts w:ascii="Century Gothic" w:hAnsi="Century Gothic"/>
          <w:b/>
        </w:rPr>
        <w:t>PROPENSIÓN MARGINAL AHORRAR</w:t>
      </w:r>
    </w:p>
    <w:p w14:paraId="1FC4959E" w14:textId="77777777" w:rsidR="00CE6E62" w:rsidRPr="00CE6E62" w:rsidRDefault="00CE6E62" w:rsidP="00CE6E62">
      <w:pPr>
        <w:spacing w:after="0"/>
        <w:jc w:val="both"/>
        <w:rPr>
          <w:rFonts w:ascii="Century Gothic" w:hAnsi="Century Gothic"/>
        </w:rPr>
      </w:pPr>
      <w:r w:rsidRPr="00CE6E62">
        <w:rPr>
          <w:rFonts w:ascii="Century Gothic" w:hAnsi="Century Gothic"/>
        </w:rPr>
        <w:t>El concepto de propensión marginal a consumir tiene un concepto gemelo: la propensión marginal a ahorrar, que es la parte de cada unidad adicional de dinero de renta que se destina a horro adicional</w:t>
      </w:r>
    </w:p>
    <w:p w14:paraId="53AC8818" w14:textId="77777777" w:rsidR="00196011" w:rsidRPr="00196011" w:rsidRDefault="00196011" w:rsidP="00196011">
      <w:pPr>
        <w:spacing w:after="0"/>
        <w:jc w:val="both"/>
        <w:rPr>
          <w:rFonts w:ascii="Century Gothic" w:hAnsi="Century Gothic"/>
        </w:rPr>
      </w:pPr>
    </w:p>
    <w:sectPr w:rsidR="00196011" w:rsidRPr="00196011">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FFF253" w14:textId="77777777" w:rsidR="008A7B1D" w:rsidRDefault="008A7B1D" w:rsidP="008A7B1D">
      <w:pPr>
        <w:spacing w:after="0" w:line="240" w:lineRule="auto"/>
      </w:pPr>
      <w:r>
        <w:separator/>
      </w:r>
    </w:p>
  </w:endnote>
  <w:endnote w:type="continuationSeparator" w:id="0">
    <w:p w14:paraId="7A3F3B4E" w14:textId="77777777" w:rsidR="008A7B1D" w:rsidRDefault="008A7B1D" w:rsidP="008A7B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15B8F1" w14:textId="77777777" w:rsidR="008A7B1D" w:rsidRDefault="008A7B1D" w:rsidP="008A7B1D">
      <w:pPr>
        <w:spacing w:after="0" w:line="240" w:lineRule="auto"/>
      </w:pPr>
      <w:r>
        <w:separator/>
      </w:r>
    </w:p>
  </w:footnote>
  <w:footnote w:type="continuationSeparator" w:id="0">
    <w:p w14:paraId="63C5265B" w14:textId="77777777" w:rsidR="008A7B1D" w:rsidRDefault="008A7B1D" w:rsidP="008A7B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D232D8" w14:textId="77777777" w:rsidR="008A7B1D" w:rsidRDefault="008A7B1D" w:rsidP="008A7B1D">
    <w:pPr>
      <w:pStyle w:val="Encabezado"/>
      <w:jc w:val="right"/>
    </w:pPr>
    <w:r>
      <w:t xml:space="preserve">Díaz Reyes Beatriz </w:t>
    </w:r>
  </w:p>
  <w:p w14:paraId="13F55C8B" w14:textId="77777777" w:rsidR="008A7B1D" w:rsidRDefault="008A7B1D" w:rsidP="008A7B1D">
    <w:pPr>
      <w:pStyle w:val="Encabezado"/>
      <w:jc w:val="right"/>
    </w:pPr>
    <w:r>
      <w:t>C-24</w:t>
    </w:r>
  </w:p>
  <w:p w14:paraId="46EBEC54" w14:textId="77777777" w:rsidR="008A7B1D" w:rsidRDefault="008A7B1D" w:rsidP="008A7B1D">
    <w:pPr>
      <w:pStyle w:val="Encabezado"/>
      <w:jc w:val="right"/>
    </w:pPr>
    <w:r>
      <w:t xml:space="preserve">Macroeconomía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011"/>
    <w:rsid w:val="00196011"/>
    <w:rsid w:val="001C6041"/>
    <w:rsid w:val="007C50AE"/>
    <w:rsid w:val="008531DC"/>
    <w:rsid w:val="008A7B1D"/>
    <w:rsid w:val="00C4797A"/>
    <w:rsid w:val="00CE6E6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9DC59"/>
  <w15:chartTrackingRefBased/>
  <w15:docId w15:val="{290968C7-AAA7-4ADF-B57F-8CDE68A53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A7B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A7B1D"/>
  </w:style>
  <w:style w:type="paragraph" w:styleId="Piedepgina">
    <w:name w:val="footer"/>
    <w:basedOn w:val="Normal"/>
    <w:link w:val="PiedepginaCar"/>
    <w:uiPriority w:val="99"/>
    <w:unhideWhenUsed/>
    <w:rsid w:val="008A7B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A7B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7</Pages>
  <Words>2632</Words>
  <Characters>14480</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Diaz Reyes</dc:creator>
  <cp:keywords/>
  <dc:description/>
  <cp:lastModifiedBy>Beatriz Diaz Reyes</cp:lastModifiedBy>
  <cp:revision>1</cp:revision>
  <dcterms:created xsi:type="dcterms:W3CDTF">2017-05-15T16:54:00Z</dcterms:created>
  <dcterms:modified xsi:type="dcterms:W3CDTF">2017-05-15T17:33:00Z</dcterms:modified>
</cp:coreProperties>
</file>