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before="0"/>
        <w:jc w:val="right"/>
      </w:pPr>
      <w:r>
        <w:drawing>
          <wp:inline xmlns:a="http://schemas.openxmlformats.org/drawingml/2006/main" xmlns:pic="http://schemas.openxmlformats.org/drawingml/2006/picture">
            <wp:extent cx="1645920" cy="4448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inand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444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/>
        <w:jc w:val="center"/>
      </w:pPr>
      <w:r>
        <w:rPr>
          <w:rFonts w:ascii="Arial" w:hAnsi="Arial"/>
          <w:b/>
          <w:color w:val="0F172A"/>
          <w:sz w:val="23"/>
        </w:rPr>
        <w:t>ESTADO DE CUENTA DEL FONDO [NOMBRE_DEL_FONDO]</w:t>
        <w:br/>
      </w:r>
      <w:r>
        <w:rPr>
          <w:rFonts w:ascii="Arial" w:hAnsi="Arial"/>
          <w:b/>
          <w:color w:val="475569"/>
          <w:sz w:val="20"/>
        </w:rPr>
        <w:t>FONDO DE INVERSION PRIVADO    DEL [DD-MM-AAAA] AL [DD-MM-AAAA]</w:t>
      </w:r>
    </w:p>
    <w:p>
      <w:pPr>
        <w:spacing w:before="320" w:after="280" w:line="288" w:lineRule="auto"/>
      </w:pPr>
      <w:r>
        <w:rPr>
          <w:rFonts w:ascii="Arial" w:hAnsi="Arial"/>
          <w:color w:val="64748B"/>
          <w:sz w:val="19"/>
        </w:rPr>
        <w:t>Sr(a)(s):</w:t>
        <w:br/>
      </w:r>
      <w:r>
        <w:rPr>
          <w:rFonts w:ascii="Arial" w:hAnsi="Arial"/>
          <w:b/>
          <w:color w:val="0F172A"/>
          <w:sz w:val="22"/>
        </w:rPr>
        <w:t xml:space="preserve">    [NOMBRE COMPLETO DEL INVERSIONISTA]</w:t>
        <w:br/>
      </w:r>
      <w:r>
        <w:rPr>
          <w:rFonts w:ascii="Arial" w:hAnsi="Arial"/>
          <w:color w:val="64748B"/>
          <w:sz w:val="19"/>
        </w:rPr>
        <w:t xml:space="preserve">Certificado N°: </w:t>
      </w:r>
      <w:r>
        <w:rPr>
          <w:rFonts w:ascii="Arial" w:hAnsi="Arial"/>
          <w:b/>
          <w:color w:val="0F172A"/>
          <w:sz w:val="20"/>
        </w:rPr>
        <w:t>[CODIGO_CERTIFICADO]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6048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19"/>
              </w:rPr>
              <w:t>Monto inicial invertido:</w:t>
            </w:r>
          </w:p>
        </w:tc>
        <w:tc>
          <w:tcPr>
            <w:tcW w:type="dxa" w:w="1152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64748B"/>
                <w:sz w:val="19"/>
              </w:rPr>
              <w:t>USD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sz w:val="19"/>
              </w:rPr>
              <w:t>0.00</w:t>
            </w:r>
          </w:p>
        </w:tc>
      </w:tr>
      <w:tr>
        <w:tc>
          <w:tcPr>
            <w:tcW w:type="dxa" w:w="6048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19"/>
              </w:rPr>
              <w:t>Ganancia bruta obtenida:</w:t>
            </w:r>
          </w:p>
        </w:tc>
        <w:tc>
          <w:tcPr>
            <w:tcW w:type="dxa" w:w="1152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64748B"/>
                <w:sz w:val="19"/>
              </w:rPr>
              <w:t>USD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sz w:val="19"/>
              </w:rPr>
              <w:t>0.00</w:t>
            </w:r>
          </w:p>
        </w:tc>
      </w:tr>
      <w:tr>
        <w:tc>
          <w:tcPr>
            <w:tcW w:type="dxa" w:w="60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60" w:after="60"/>
            </w:pPr>
          </w:p>
        </w:tc>
        <w:tc>
          <w:tcPr>
            <w:tcW w:type="dxa" w:w="115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60" w:after="60"/>
            </w:pP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60" w:after="60"/>
            </w:pPr>
          </w:p>
        </w:tc>
      </w:tr>
      <w:tr>
        <w:tc>
          <w:tcPr>
            <w:tcW w:type="dxa" w:w="6048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19"/>
              </w:rPr>
              <w:t>(-) Impuesto a la renta retenido</w:t>
            </w:r>
          </w:p>
        </w:tc>
        <w:tc>
          <w:tcPr>
            <w:tcW w:type="dxa" w:w="1152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64748B"/>
                <w:sz w:val="19"/>
              </w:rPr>
              <w:t>USD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sz w:val="19"/>
              </w:rPr>
              <w:t>0.00</w:t>
            </w:r>
          </w:p>
        </w:tc>
      </w:tr>
      <w:tr>
        <w:tc>
          <w:tcPr>
            <w:tcW w:type="dxa" w:w="6048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19"/>
              </w:rPr>
              <w:t>(-) Deducciones</w:t>
            </w:r>
          </w:p>
        </w:tc>
        <w:tc>
          <w:tcPr>
            <w:tcW w:type="dxa" w:w="1152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64748B"/>
                <w:sz w:val="19"/>
              </w:rPr>
              <w:t>USD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sz w:val="19"/>
              </w:rPr>
              <w:t>-</w:t>
            </w:r>
          </w:p>
        </w:tc>
      </w:tr>
      <w:tr>
        <w:tc>
          <w:tcPr>
            <w:tcW w:type="dxa" w:w="6048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0F172A"/>
                <w:sz w:val="19"/>
              </w:rPr>
              <w:t>Ganancia neta disponible:</w:t>
            </w:r>
          </w:p>
        </w:tc>
        <w:tc>
          <w:tcPr>
            <w:tcW w:type="dxa" w:w="1152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0F172A"/>
                <w:sz w:val="19"/>
              </w:rPr>
              <w:t>USD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color w:val="0F172A"/>
                <w:sz w:val="19"/>
              </w:rPr>
              <w:t>0.00</w:t>
            </w:r>
          </w:p>
        </w:tc>
      </w:tr>
      <w:tr>
        <w:tc>
          <w:tcPr>
            <w:tcW w:type="dxa" w:w="60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60" w:after="60"/>
            </w:pPr>
          </w:p>
        </w:tc>
        <w:tc>
          <w:tcPr>
            <w:tcW w:type="dxa" w:w="115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60" w:after="60"/>
            </w:pP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60" w:after="60"/>
            </w:pPr>
          </w:p>
        </w:tc>
      </w:tr>
      <w:tr>
        <w:tc>
          <w:tcPr>
            <w:tcW w:type="dxa" w:w="6048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19"/>
              </w:rPr>
              <w:t>Capitalización acordada:</w:t>
            </w:r>
          </w:p>
        </w:tc>
        <w:tc>
          <w:tcPr>
            <w:tcW w:type="dxa" w:w="1152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64748B"/>
                <w:sz w:val="19"/>
              </w:rPr>
              <w:t>USD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sz w:val="19"/>
              </w:rPr>
              <w:t>0.00</w:t>
            </w:r>
          </w:p>
        </w:tc>
      </w:tr>
      <w:tr>
        <w:tc>
          <w:tcPr>
            <w:tcW w:type="dxa" w:w="6048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19"/>
              </w:rPr>
              <w:t>Rescates solicitados:</w:t>
            </w:r>
          </w:p>
        </w:tc>
        <w:tc>
          <w:tcPr>
            <w:tcW w:type="dxa" w:w="1152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64748B"/>
                <w:sz w:val="19"/>
              </w:rPr>
              <w:t>USD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sz w:val="19"/>
              </w:rPr>
              <w:t>-</w:t>
            </w:r>
          </w:p>
        </w:tc>
      </w:tr>
      <w:tr>
        <w:tc>
          <w:tcPr>
            <w:tcW w:type="dxa" w:w="6048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19"/>
              </w:rPr>
              <w:t>Monto transferido / abonado:</w:t>
            </w:r>
          </w:p>
        </w:tc>
        <w:tc>
          <w:tcPr>
            <w:tcW w:type="dxa" w:w="1152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64748B"/>
                <w:sz w:val="19"/>
              </w:rPr>
              <w:t>USD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sz w:val="19"/>
              </w:rPr>
              <w:t>-</w:t>
            </w:r>
          </w:p>
        </w:tc>
      </w:tr>
    </w:tbl>
    <w:p>
      <w:pPr>
        <w:spacing w:before="20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6048"/>
            <w:shd w:fill="F8FAFC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sz="12" w:val="single" w:color="0F172A"/>
              <w:left w:sz="12" w:val="single" w:color="0F172A"/>
              <w:bottom w:sz="12" w:val="single" w:color="0F172A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20"/>
              </w:rPr>
              <w:t>Monto final invertido: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sz="12" w:val="single" w:color="0F172A"/>
              <w:left w:val="none"/>
              <w:bottom w:sz="12" w:val="single" w:color="0F172A"/>
              <w:right w:val="non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20"/>
              </w:rPr>
              <w:t>USD</w:t>
            </w:r>
          </w:p>
        </w:tc>
        <w:tc>
          <w:tcPr>
            <w:tcW w:type="dxa" w:w="2160"/>
            <w:shd w:fill="F8FAFC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sz="12" w:val="single" w:color="0F172A"/>
              <w:left w:val="none"/>
              <w:bottom w:sz="12" w:val="single" w:color="0F172A"/>
              <w:right w:sz="12" w:val="single" w:color="0F172A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color w:val="0F172A"/>
                <w:sz w:val="21"/>
              </w:rPr>
              <w:t>0.00</w:t>
            </w:r>
          </w:p>
        </w:tc>
      </w:tr>
    </w:tbl>
    <w:p>
      <w:pPr>
        <w:spacing w:before="20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6048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Valor cuota del fondo al [DD-MM-AAAA]</w:t>
            </w:r>
          </w:p>
        </w:tc>
        <w:tc>
          <w:tcPr>
            <w:tcW w:type="dxa" w:w="1152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64748B"/>
                <w:sz w:val="19"/>
              </w:rPr>
              <w:t>USD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sz w:val="19"/>
              </w:rPr>
              <w:t>0.000000</w:t>
            </w:r>
          </w:p>
        </w:tc>
      </w:tr>
      <w:tr>
        <w:tc>
          <w:tcPr>
            <w:tcW w:type="dxa" w:w="6048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Número de cuotas al [DD-MM-AAAA]</w:t>
            </w:r>
          </w:p>
        </w:tc>
        <w:tc>
          <w:tcPr>
            <w:tcW w:type="dxa" w:w="1152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64748B"/>
                <w:sz w:val="19"/>
              </w:rPr>
              <w:t>CUOTAS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sz w:val="19"/>
              </w:rPr>
              <w:t>0.0000</w:t>
            </w:r>
          </w:p>
        </w:tc>
      </w:tr>
    </w:tbl>
    <w:p>
      <w:pPr>
        <w:spacing w:before="900" w:after="0"/>
        <w:jc w:val="center"/>
      </w:pPr>
      <w:r>
        <w:rPr>
          <w:rFonts w:ascii="Arial" w:hAnsi="Arial"/>
          <w:color w:val="0D47A1"/>
          <w:sz w:val="16"/>
        </w:rPr>
        <w:t>INANDES ACTIVOS ALTERNATIVOS SAC | Los Tulipanes 147 oficina 306, Santiago de Surco, Lima | Teléfono: + (511) 7121700 | info@inandes.com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