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Fonts w:ascii="Calibri" w:cs="Calibri" w:hAnsi="Calibri" w:eastAsia="Calibri"/>
          <w:rtl w:val="0"/>
        </w:rPr>
        <w:t>Why Agile Methodologies</w:t>
      </w:r>
      <w:r>
        <w:rPr>
          <w:rFonts w:ascii="Calibri" w:cs="Calibri" w:hAnsi="Calibri" w:eastAsia="Calibri"/>
          <w:rtl w:val="0"/>
        </w:rPr>
        <w:t>?</w:t>
      </w:r>
    </w:p>
    <w:p>
      <w:pPr>
        <w:pStyle w:val="Body"/>
        <w:rPr>
          <w:rFonts w:ascii="Calibri" w:cs="Calibri" w:hAnsi="Calibri" w:eastAsia="Calibri"/>
        </w:rPr>
      </w:pPr>
    </w:p>
    <w:p>
      <w:pPr>
        <w:pStyle w:val="Heading"/>
        <w:numPr>
          <w:ilvl w:val="0"/>
          <w:numId w:val="3"/>
        </w:numPr>
        <w:tabs>
          <w:tab w:val="num" w:pos="886"/>
          <w:tab w:val="clear" w:pos="0"/>
        </w:tabs>
        <w:ind w:left="886" w:hanging="886"/>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tl w:val="0"/>
        </w:rPr>
      </w:pPr>
      <w:r>
        <w:rPr>
          <w:rFonts w:ascii="Calibri Light" w:cs="Calibri Light" w:hAnsi="Calibri Light" w:eastAsia="Calibri Light"/>
          <w:rtl w:val="0"/>
          <w:lang w:val="fr-FR"/>
        </w:rPr>
        <w:t>Introduction</w:t>
      </w:r>
    </w:p>
    <w:p>
      <w:pPr>
        <w:pStyle w:val="Body"/>
        <w:rPr>
          <w:rtl w:val="0"/>
        </w:rPr>
      </w:pPr>
      <w:r>
        <w:rPr>
          <w:rFonts w:ascii="Calibri" w:cs="Calibri" w:hAnsi="Calibri" w:eastAsia="Calibri"/>
          <w:rtl w:val="0"/>
          <w:lang w:val="en-US"/>
        </w:rPr>
        <w:t xml:space="preserve">JustHealth have elected to use an agile development methodology for </w:t>
      </w:r>
      <w:r>
        <w:rPr>
          <w:rFonts w:ascii="Calibri" w:cs="Calibri" w:hAnsi="Calibri" w:eastAsia="Calibri"/>
          <w:rtl w:val="0"/>
          <w:lang w:val="en-US"/>
        </w:rPr>
        <w:t>producing</w:t>
      </w:r>
      <w:r>
        <w:rPr>
          <w:rFonts w:ascii="Calibri" w:cs="Calibri" w:hAnsi="Calibri" w:eastAsia="Calibri"/>
          <w:rtl w:val="0"/>
          <w:lang w:val="en-US"/>
        </w:rPr>
        <w:t xml:space="preserve"> our application. An agile approach lets us focus on rapid, iterative development of our application with the objective of producing working software</w:t>
      </w:r>
      <w:r>
        <w:rPr>
          <w:rFonts w:ascii="Calibri" w:cs="Calibri" w:hAnsi="Calibri" w:eastAsia="Calibri"/>
          <w:rtl w:val="0"/>
          <w:lang w:val="en-US"/>
        </w:rPr>
        <w:t xml:space="preserve"> taking precedence over exhaustive documentation or following an explicit plan, as per the Agile Manifesto.(Appendix 1)</w:t>
      </w:r>
    </w:p>
    <w:p>
      <w:pPr>
        <w:pStyle w:val="Body"/>
        <w:spacing w:line="259" w:lineRule="auto"/>
        <w:rPr>
          <w:rtl w:val="0"/>
        </w:rPr>
      </w:pPr>
      <w:r>
        <w:rPr>
          <w:rFonts w:ascii="Trebuchet MS"/>
          <w:rtl w:val="0"/>
          <w:lang w:val="en-US"/>
        </w:rPr>
        <w:t xml:space="preserve">Research conducted The Standish Group has shown that possibly three times as many projects fail when the waterfall method is utilised when compared with those using agile methods: </w:t>
      </w:r>
      <w:r>
        <w:rPr>
          <w:rFonts w:ascii="Trebuchet MS"/>
          <w:rtl w:val="0"/>
          <w:lang w:val="en-US"/>
        </w:rPr>
        <w:t>(Standish Group, 2011)</w:t>
      </w:r>
    </w:p>
    <w:p>
      <w:pPr>
        <w:pStyle w:val="Heading"/>
        <w:numPr>
          <w:ilvl w:val="0"/>
          <w:numId w:val="3"/>
        </w:numPr>
        <w:tabs>
          <w:tab w:val="num" w:pos="886"/>
          <w:tab w:val="clear" w:pos="0"/>
        </w:tabs>
        <w:ind w:left="886" w:hanging="886"/>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tl w:val="0"/>
        </w:rPr>
      </w:pPr>
      <w:r>
        <w:rPr>
          <w:rFonts w:ascii="Calibri Light" w:cs="Calibri Light" w:hAnsi="Calibri Light" w:eastAsia="Calibri Light"/>
          <w:rtl w:val="0"/>
        </w:rPr>
        <w:t>Analysis</w:t>
      </w:r>
    </w:p>
    <w:p>
      <w:pPr>
        <w:pStyle w:val="Body"/>
        <w:rPr>
          <w:rtl w:val="0"/>
        </w:rPr>
      </w:pPr>
      <w:r>
        <w:rPr>
          <w:rFonts w:ascii="Calibri" w:cs="Calibri" w:hAnsi="Calibri" w:eastAsia="Calibri"/>
          <w:rtl w:val="0"/>
          <w:lang w:val="en-US"/>
        </w:rPr>
        <w:t>All of JustHealth</w:t>
      </w:r>
      <w:r>
        <w:rPr>
          <w:rFonts w:ascii="Calibri" w:cs="Calibri" w:hAnsi="Calibri" w:eastAsia="Calibri"/>
          <w:rtl w:val="0"/>
          <w:lang w:val="en-US"/>
        </w:rPr>
        <w:t>’</w:t>
      </w:r>
      <w:r>
        <w:rPr>
          <w:rFonts w:ascii="Calibri" w:cs="Calibri" w:hAnsi="Calibri" w:eastAsia="Calibri"/>
          <w:rtl w:val="0"/>
          <w:lang w:val="en-US"/>
        </w:rPr>
        <w:t>s members have much greater experience in Agile and believe it to be superior to the traditional methods in most cases, particularly those involving small projects with a small, close-knit development team like ours.</w:t>
      </w:r>
    </w:p>
    <w:p>
      <w:pPr>
        <w:pStyle w:val="Body"/>
        <w:rPr>
          <w:rtl w:val="0"/>
        </w:rPr>
      </w:pPr>
      <w:r>
        <w:rPr>
          <w:rFonts w:ascii="Calibri" w:cs="Calibri" w:hAnsi="Calibri" w:eastAsia="Calibri"/>
          <w:rtl w:val="0"/>
          <w:lang w:val="en-US"/>
        </w:rPr>
        <w:t>Agile development also perfectly suits the iterative requirements of the project, such that we have to produce working software to present every 2-3 weeks. There are also a number of other agile practises we will be using, including a number take from Extreme Programming (XP), a specific example of an agile methodology. These include:</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10"/>
        <w:gridCol w:w="4510"/>
      </w:tblGrid>
      <w:tr>
        <w:tblPrEx>
          <w:shd w:val="clear" w:color="auto" w:fill="bdc0bf"/>
        </w:tblPrEx>
        <w:trPr>
          <w:trHeight w:val="280" w:hRule="atLeast"/>
          <w:tblHeader/>
        </w:trPr>
        <w:tc>
          <w:tcPr>
            <w:tcW w:type="dxa" w:w="45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Practise</w:t>
            </w:r>
          </w:p>
        </w:tc>
        <w:tc>
          <w:tcPr>
            <w:tcW w:type="dxa" w:w="45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Benefit</w:t>
            </w:r>
          </w:p>
        </w:tc>
      </w:tr>
      <w:tr>
        <w:tblPrEx>
          <w:shd w:val="clear" w:color="auto" w:fill="auto"/>
        </w:tblPrEx>
        <w:trPr>
          <w:trHeight w:val="968" w:hRule="atLeast"/>
        </w:trPr>
        <w:tc>
          <w:tcPr>
            <w:tcW w:type="dxa" w:w="45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Pair Programming</w:t>
            </w:r>
          </w:p>
        </w:tc>
        <w:tc>
          <w:tcPr>
            <w:tcW w:type="dxa" w:w="45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Pair programming has been shown to reduce the number of errors in code by 15%. It also has the added benefit of increasing developer satisfaction and designs. (Williams et al, 2000) </w:t>
            </w:r>
          </w:p>
        </w:tc>
      </w:tr>
      <w:tr>
        <w:tblPrEx>
          <w:shd w:val="clear" w:color="auto" w:fill="auto"/>
        </w:tblPrEx>
        <w:trPr>
          <w:trHeight w:val="1685" w:hRule="atLeast"/>
        </w:trPr>
        <w:tc>
          <w:tcPr>
            <w:tcW w:type="dxa" w:w="45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Test Driven Development</w:t>
            </w:r>
          </w:p>
        </w:tc>
        <w:tc>
          <w:tcPr>
            <w:tcW w:type="dxa" w:w="45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Having easily repeatable and automated tests written before functionality is implemented allows us to easily ensure that our functionality works and is of an appropriate standard. By focusing on writing code to pass those tests we are encouraged to write cleaner code that implements our designs. (Beck, 2002)</w:t>
            </w:r>
          </w:p>
        </w:tc>
      </w:tr>
      <w:tr>
        <w:tblPrEx>
          <w:shd w:val="clear" w:color="auto" w:fill="auto"/>
        </w:tblPrEx>
        <w:trPr>
          <w:trHeight w:val="1445" w:hRule="atLeast"/>
        </w:trPr>
        <w:tc>
          <w:tcPr>
            <w:tcW w:type="dxa" w:w="45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Triweekly Team Meetings</w:t>
            </w:r>
          </w:p>
        </w:tc>
        <w:tc>
          <w:tcPr>
            <w:tcW w:type="dxa" w:w="45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Keeping the developers in close contact allows us to keep on track and focused as best as possible. Here we can examine the work that has been done, what we are going to doing moving forward and discuss anything that is hindering our progress. </w:t>
            </w:r>
          </w:p>
        </w:tc>
      </w:tr>
      <w:tr>
        <w:tblPrEx>
          <w:shd w:val="clear" w:color="auto" w:fill="auto"/>
        </w:tblPrEx>
        <w:trPr>
          <w:trHeight w:val="1685" w:hRule="atLeast"/>
        </w:trPr>
        <w:tc>
          <w:tcPr>
            <w:tcW w:type="dxa" w:w="45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Collective Code Ownership</w:t>
            </w:r>
          </w:p>
        </w:tc>
        <w:tc>
          <w:tcPr>
            <w:tcW w:type="dxa" w:w="45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With all team members actively contributing and owning all of the project code and documentation we can ensure that issues are much more readily spotted and fixed, and that each developer has another who is ensuring that they are sticking to the agreed practises and methods. </w:t>
            </w:r>
          </w:p>
        </w:tc>
      </w:tr>
    </w:tbl>
    <w:p>
      <w:pPr>
        <w:pStyle w:val="Body"/>
        <w:numPr>
          <w:ilvl w:val="5"/>
          <w:numId w:val="5"/>
        </w:numPr>
        <w:tabs>
          <w:tab w:val="num" w:pos="1080"/>
          <w:tab w:val="clear" w:pos="0"/>
        </w:tabs>
        <w:ind w:left="1080" w:hanging="180"/>
        <w:rPr>
          <w:rFonts w:ascii="Calibri" w:cs="Calibri" w:hAnsi="Calibri" w:eastAsia="Calibri"/>
          <w:b w:val="0"/>
          <w:bCs w:val="0"/>
          <w:i w:val="0"/>
          <w:iCs w:val="0"/>
          <w:caps w:val="0"/>
          <w:smallCaps w:val="0"/>
          <w:strike w:val="0"/>
          <w:dstrike w:val="0"/>
          <w:outline w:val="0"/>
          <w:color w:val="000000"/>
          <w:spacing w:val="0"/>
          <w:kern w:val="0"/>
          <w:position w:val="-2"/>
          <w:sz w:val="22"/>
          <w:szCs w:val="22"/>
          <w:u w:val="none" w:color="000000"/>
          <w:vertAlign w:val="baseline"/>
          <w:rtl w:val="0"/>
        </w:rPr>
      </w:pPr>
    </w:p>
    <w:p>
      <w:pPr>
        <w:pStyle w:val="Heading"/>
      </w:pPr>
      <w:r>
        <w:rPr>
          <w:rFonts w:ascii="Calibri Light" w:cs="Calibri Light" w:hAnsi="Calibri Light" w:eastAsia="Calibri Light"/>
          <w:rtl w:val="0"/>
          <w:lang w:val="en-US"/>
        </w:rPr>
        <w:t>Appendix 1</w:t>
      </w:r>
    </w:p>
    <w:p>
      <w:pPr>
        <w:pStyle w:val="Body"/>
        <w:rPr>
          <w:color w:val="ff2600"/>
        </w:rPr>
      </w:pPr>
    </w:p>
    <w:p>
      <w:pPr>
        <w:pStyle w:val="Body"/>
        <w:jc w:val="center"/>
        <w:rPr>
          <w:rFonts w:ascii="Trebuchet MS" w:cs="Trebuchet MS" w:hAnsi="Trebuchet MS" w:eastAsia="Trebuchet MS"/>
          <w:b w:val="1"/>
          <w:bCs w:val="1"/>
          <w:sz w:val="28"/>
          <w:szCs w:val="28"/>
          <w:u w:val="single"/>
        </w:rPr>
      </w:pPr>
      <w:r>
        <w:rPr>
          <w:rFonts w:ascii="Trebuchet MS"/>
          <w:b w:val="1"/>
          <w:bCs w:val="1"/>
          <w:sz w:val="28"/>
          <w:szCs w:val="28"/>
          <w:u w:val="single"/>
          <w:rtl w:val="0"/>
          <w:lang w:val="en-US"/>
        </w:rPr>
        <w:t>Manifesto for Agile Software Development</w:t>
      </w:r>
    </w:p>
    <w:p>
      <w:pPr>
        <w:pStyle w:val="Body"/>
        <w:jc w:val="center"/>
      </w:pPr>
      <w:r>
        <w:rPr>
          <w:rFonts w:ascii="Trebuchet MS"/>
          <w:rtl w:val="0"/>
          <w:lang w:val="en-US"/>
        </w:rPr>
        <w:t>We are uncovering better ways of developing</w:t>
      </w:r>
    </w:p>
    <w:p>
      <w:pPr>
        <w:pStyle w:val="Body"/>
        <w:jc w:val="center"/>
      </w:pPr>
      <w:r>
        <w:rPr>
          <w:rFonts w:ascii="Trebuchet MS"/>
          <w:rtl w:val="0"/>
          <w:lang w:val="en-US"/>
        </w:rPr>
        <w:t>software by doing it and helping others do it.</w:t>
      </w:r>
    </w:p>
    <w:p>
      <w:pPr>
        <w:pStyle w:val="Body"/>
        <w:jc w:val="center"/>
      </w:pPr>
      <w:r>
        <w:rPr>
          <w:rFonts w:ascii="Trebuchet MS"/>
          <w:rtl w:val="0"/>
          <w:lang w:val="en-US"/>
        </w:rPr>
        <w:t>Through this work we have come to value:</w:t>
      </w:r>
    </w:p>
    <w:p>
      <w:pPr>
        <w:pStyle w:val="Body"/>
        <w:jc w:val="center"/>
      </w:pPr>
    </w:p>
    <w:p>
      <w:pPr>
        <w:pStyle w:val="Body"/>
        <w:jc w:val="center"/>
      </w:pPr>
      <w:r>
        <w:rPr>
          <w:rFonts w:ascii="Trebuchet MS"/>
          <w:rtl w:val="0"/>
          <w:lang w:val="en-US"/>
        </w:rPr>
        <w:t>Individuals and interactions over processes and tools</w:t>
      </w:r>
    </w:p>
    <w:p>
      <w:pPr>
        <w:pStyle w:val="Body"/>
        <w:jc w:val="center"/>
      </w:pPr>
      <w:r>
        <w:rPr>
          <w:rFonts w:ascii="Trebuchet MS"/>
          <w:rtl w:val="0"/>
          <w:lang w:val="en-US"/>
        </w:rPr>
        <w:t>Working software over comprehensive documentation</w:t>
      </w:r>
    </w:p>
    <w:p>
      <w:pPr>
        <w:pStyle w:val="Body"/>
        <w:jc w:val="center"/>
      </w:pPr>
      <w:r>
        <w:rPr>
          <w:rFonts w:ascii="Trebuchet MS"/>
          <w:rtl w:val="0"/>
          <w:lang w:val="en-US"/>
        </w:rPr>
        <w:t>Customer collaboration over contract negotiation</w:t>
      </w:r>
    </w:p>
    <w:p>
      <w:pPr>
        <w:pStyle w:val="Body"/>
        <w:jc w:val="center"/>
      </w:pPr>
      <w:r>
        <w:rPr>
          <w:rFonts w:ascii="Trebuchet MS"/>
          <w:rtl w:val="0"/>
          <w:lang w:val="en-US"/>
        </w:rPr>
        <w:t>Responding to change over following a plan</w:t>
      </w:r>
    </w:p>
    <w:p>
      <w:pPr>
        <w:pStyle w:val="Body"/>
        <w:jc w:val="center"/>
      </w:pPr>
    </w:p>
    <w:p>
      <w:pPr>
        <w:pStyle w:val="Body"/>
        <w:jc w:val="center"/>
      </w:pPr>
      <w:r>
        <w:rPr>
          <w:rFonts w:ascii="Trebuchet MS"/>
          <w:rtl w:val="0"/>
          <w:lang w:val="en-US"/>
        </w:rPr>
        <w:t>That is, while there is value in the items on</w:t>
      </w:r>
    </w:p>
    <w:p>
      <w:pPr>
        <w:pStyle w:val="Body"/>
        <w:jc w:val="center"/>
      </w:pPr>
      <w:r>
        <w:rPr>
          <w:rFonts w:ascii="Trebuchet MS"/>
          <w:rtl w:val="0"/>
          <w:lang w:val="en-US"/>
        </w:rPr>
        <w:t>the right, we value the items on the left more.</w:t>
      </w:r>
    </w:p>
    <w:p>
      <w:pPr>
        <w:pStyle w:val="Body"/>
        <w:jc w:val="center"/>
      </w:pPr>
    </w:p>
    <w:tbl>
      <w:tblPr>
        <w:tblW w:w="9013"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04"/>
        <w:gridCol w:w="3004"/>
        <w:gridCol w:w="3005"/>
      </w:tblGrid>
      <w:tr>
        <w:tblPrEx>
          <w:shd w:val="clear" w:color="auto" w:fill="auto"/>
        </w:tblPrEx>
        <w:trPr>
          <w:trHeight w:val="279" w:hRule="atLeast"/>
        </w:trPr>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rtl w:val="0"/>
              </w:rPr>
              <w:t>Kent Beck</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James Grenning</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Robert C. Martin</w:t>
            </w:r>
          </w:p>
        </w:tc>
      </w:tr>
      <w:tr>
        <w:tblPrEx>
          <w:shd w:val="clear" w:color="auto" w:fill="auto"/>
        </w:tblPrEx>
        <w:trPr>
          <w:trHeight w:val="279" w:hRule="atLeast"/>
        </w:trPr>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rtl w:val="0"/>
              </w:rPr>
              <w:t>Mike Beedle</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Jim Highsmith</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Steve Mellor</w:t>
            </w:r>
          </w:p>
        </w:tc>
      </w:tr>
      <w:tr>
        <w:tblPrEx>
          <w:shd w:val="clear" w:color="auto" w:fill="auto"/>
        </w:tblPrEx>
        <w:trPr>
          <w:trHeight w:val="279" w:hRule="atLeast"/>
        </w:trPr>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Arie van Bennekum</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Andrew Hunt</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Ken Schwaber</w:t>
            </w:r>
          </w:p>
        </w:tc>
      </w:tr>
      <w:tr>
        <w:tblPrEx>
          <w:shd w:val="clear" w:color="auto" w:fill="auto"/>
        </w:tblPrEx>
        <w:trPr>
          <w:trHeight w:val="279" w:hRule="atLeast"/>
        </w:trPr>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Alistair Cockburn</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Ron Jeffries</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Jeff Sutherland</w:t>
            </w:r>
          </w:p>
        </w:tc>
      </w:tr>
      <w:tr>
        <w:tblPrEx>
          <w:shd w:val="clear" w:color="auto" w:fill="auto"/>
        </w:tblPrEx>
        <w:trPr>
          <w:trHeight w:val="279" w:hRule="atLeast"/>
        </w:trPr>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Ward Cunningham</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Jon Kern</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Dave Thomas</w:t>
            </w:r>
          </w:p>
        </w:tc>
      </w:tr>
      <w:tr>
        <w:tblPrEx>
          <w:shd w:val="clear" w:color="auto" w:fill="auto"/>
        </w:tblPrEx>
        <w:trPr>
          <w:trHeight w:val="279" w:hRule="atLeast"/>
        </w:trPr>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Martin Fowler</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60" w:line="259" w:lineRule="auto"/>
              <w:ind w:left="0" w:right="0" w:firstLine="0"/>
              <w:jc w:val="center"/>
              <w:rPr>
                <w:rtl w:val="0"/>
              </w:rPr>
            </w:pPr>
            <w:r>
              <w:rPr>
                <w:rFonts w:ascii="Trebuchet MS"/>
                <w:sz w:val="22"/>
                <w:szCs w:val="22"/>
                <w:rtl w:val="0"/>
              </w:rPr>
              <w:t>Brian Marick</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tc>
      </w:tr>
    </w:tbl>
    <w:p>
      <w:pPr>
        <w:pStyle w:val="Body"/>
        <w:jc w:val="center"/>
      </w:pPr>
    </w:p>
    <w:p>
      <w:pPr>
        <w:pStyle w:val="Body"/>
      </w:pPr>
    </w:p>
    <w:p>
      <w:pPr>
        <w:pStyle w:val="Body"/>
        <w:jc w:val="center"/>
      </w:pPr>
      <w:r>
        <w:rPr>
          <w:rFonts w:hAnsi="Trebuchet MS" w:hint="default"/>
          <w:rtl w:val="0"/>
        </w:rPr>
        <w:t xml:space="preserve">© </w:t>
      </w:r>
      <w:r>
        <w:rPr>
          <w:rFonts w:ascii="Trebuchet MS"/>
          <w:rtl w:val="0"/>
          <w:lang w:val="en-US"/>
        </w:rPr>
        <w:t>2001, the above authors</w:t>
      </w:r>
    </w:p>
    <w:p>
      <w:pPr>
        <w:pStyle w:val="Body"/>
        <w:jc w:val="center"/>
      </w:pPr>
      <w:r>
        <w:rPr>
          <w:rFonts w:ascii="Trebuchet MS"/>
          <w:rtl w:val="0"/>
          <w:lang w:val="en-US"/>
        </w:rPr>
        <w:t xml:space="preserve">this declaration may be freely copied in any form, </w:t>
      </w:r>
    </w:p>
    <w:p>
      <w:pPr>
        <w:pStyle w:val="Body"/>
        <w:jc w:val="center"/>
      </w:pPr>
      <w:r>
        <w:rPr>
          <w:rFonts w:ascii="Trebuchet MS"/>
          <w:rtl w:val="0"/>
          <w:lang w:val="en-US"/>
        </w:rPr>
        <w:t xml:space="preserve">but only in its entirety through this notice. </w:t>
      </w:r>
    </w:p>
    <w:p>
      <w:pPr>
        <w:pStyle w:val="Body"/>
        <w:jc w:val="center"/>
      </w:pPr>
    </w:p>
    <w:p>
      <w:pPr>
        <w:pStyle w:val="Body"/>
        <w:spacing w:line="259" w:lineRule="auto"/>
      </w:pPr>
    </w:p>
    <w:p>
      <w:pPr>
        <w:pStyle w:val="Body"/>
        <w:spacing w:line="259" w:lineRule="auto"/>
      </w:pPr>
    </w:p>
    <w:p>
      <w:pPr>
        <w:pStyle w:val="Body"/>
        <w:spacing w:line="259" w:lineRule="auto"/>
        <w:rPr>
          <w:color w:val="ff2600"/>
        </w:rPr>
      </w:pPr>
    </w:p>
    <w:p>
      <w:pPr>
        <w:pStyle w:val="Heading"/>
        <w:rPr>
          <w:color w:val="ff2600"/>
        </w:rPr>
      </w:pPr>
    </w:p>
    <w:p>
      <w:pPr>
        <w:pStyle w:val="Body"/>
        <w:rPr>
          <w:color w:val="ff2600"/>
        </w:rPr>
      </w:pPr>
    </w:p>
    <w:p>
      <w:pPr>
        <w:pStyle w:val="Heading"/>
      </w:pPr>
      <w:r>
        <w:rPr>
          <w:rFonts w:ascii="Calibri Light" w:cs="Calibri Light" w:hAnsi="Calibri Light" w:eastAsia="Calibri Light"/>
          <w:rtl w:val="0"/>
          <w:lang w:val="en-US"/>
        </w:rPr>
        <w:t>References</w:t>
      </w:r>
    </w:p>
    <w:p>
      <w:pPr>
        <w:pStyle w:val="Body"/>
        <w:spacing w:line="259" w:lineRule="auto"/>
      </w:pPr>
      <w:r>
        <w:rPr>
          <w:rFonts w:ascii="Trebuchet MS"/>
          <w:rtl w:val="0"/>
          <w:lang w:val="en-US"/>
        </w:rPr>
        <w:t xml:space="preserve">Mike Cohn, (13/02/12). </w:t>
      </w:r>
      <w:r>
        <w:rPr>
          <w:rFonts w:ascii="Trebuchet MS"/>
          <w:rtl w:val="0"/>
          <w:lang w:val="en-US"/>
        </w:rPr>
        <w:t>Agile Succeeds Three Times More Often Than Waterfall</w:t>
      </w:r>
      <w:r>
        <w:rPr>
          <w:rFonts w:ascii="Trebuchet MS"/>
          <w:rtl w:val="0"/>
          <w:lang w:val="en-US"/>
        </w:rPr>
        <w:t>. [Online] Available at: &lt;</w:t>
      </w:r>
      <w:r>
        <w:rPr>
          <w:rFonts w:ascii="Trebuchet MS"/>
          <w:rtl w:val="0"/>
          <w:lang w:val="en-US"/>
        </w:rPr>
        <w:t>http://www.mountaingoatsoftware.com/blog/agile-succeeds-three-times-more-often-than-waterfall</w:t>
      </w:r>
      <w:r>
        <w:rPr>
          <w:rFonts w:ascii="Trebuchet MS"/>
          <w:rtl w:val="0"/>
          <w:lang w:val="en-US"/>
        </w:rPr>
        <w:t>&gt; [Accessed: 07/10/14].</w:t>
      </w:r>
    </w:p>
    <w:p>
      <w:pPr>
        <w:pStyle w:val="Body"/>
        <w:spacing w:line="259" w:lineRule="auto"/>
      </w:pPr>
      <w:r>
        <w:rPr>
          <w:rFonts w:ascii="Trebuchet MS"/>
          <w:rtl w:val="0"/>
          <w:lang w:val="en-US"/>
        </w:rPr>
        <w:t>The Standish Group, (2011). Chaos Manifesto. [Online] Available at: &lt;</w:t>
      </w:r>
      <w:r>
        <w:rPr>
          <w:rFonts w:ascii="Trebuchet MS"/>
          <w:rtl w:val="0"/>
        </w:rPr>
        <w:t>http://www.versionone.com/assets/img/files/ChaosManifest_2011.pdf</w:t>
      </w:r>
      <w:r>
        <w:rPr>
          <w:rFonts w:ascii="Trebuchet MS"/>
          <w:rtl w:val="0"/>
          <w:lang w:val="en-US"/>
        </w:rPr>
        <w:t>&gt; [Accessed: 07/10/14].</w:t>
      </w:r>
    </w:p>
    <w:p>
      <w:pPr>
        <w:pStyle w:val="Body"/>
        <w:spacing w:line="259" w:lineRule="auto"/>
      </w:pPr>
      <w:r>
        <w:rPr>
          <w:rFonts w:ascii="Trebuchet MS"/>
          <w:rtl w:val="0"/>
          <w:lang w:val="en-US"/>
        </w:rPr>
        <w:t>Williams, L.; Kessler, R.; Cunningham, W.;Jeffries, R. (2000). Strengthening the Case for Pair Programming. [Online] Available at: &lt;</w:t>
      </w:r>
      <w:r>
        <w:rPr>
          <w:rFonts w:ascii="Trebuchet MS"/>
          <w:rtl w:val="0"/>
          <w:lang w:val="nl-NL"/>
        </w:rPr>
        <w:t xml:space="preserve"> http://collaboration.csc.ncsu.edu/laurie/Papers/ieeeSoftware.PDF</w:t>
      </w:r>
      <w:r>
        <w:rPr>
          <w:rFonts w:ascii="Trebuchet MS"/>
          <w:rtl w:val="0"/>
          <w:lang w:val="en-US"/>
        </w:rPr>
        <w:t>&gt; [Accessed at: 07/10/14].</w:t>
      </w:r>
    </w:p>
    <w:p>
      <w:pPr>
        <w:pStyle w:val="Body"/>
        <w:spacing w:line="259" w:lineRule="auto"/>
      </w:pPr>
      <w:r>
        <w:rPr>
          <w:rFonts w:ascii="Trebuchet MS"/>
          <w:rtl w:val="0"/>
          <w:lang w:val="en-US"/>
        </w:rPr>
        <w:t>Beck, K (2002). Test Driven Development by Example.</w:t>
      </w:r>
      <w:r>
        <w:rPr>
          <w:rFonts w:ascii="Trebuchet MS"/>
          <w:rtl w:val="0"/>
          <w:lang w:val="en-US"/>
        </w:rPr>
        <w:t xml:space="preserve"> </w:t>
      </w:r>
      <w:r>
        <w:rPr>
          <w:rFonts w:ascii="Trebuchet MS"/>
          <w:rtl w:val="0"/>
          <w:lang w:val="en-US"/>
        </w:rPr>
        <w:t>Addison-Wesley.</w:t>
      </w:r>
    </w:p>
    <w:p>
      <w:pPr>
        <w:pStyle w:val="Body"/>
        <w:spacing w:line="259" w:lineRule="auto"/>
      </w:pPr>
      <w:r>
        <w:rPr>
          <w:rFonts w:ascii="Trebuchet MS"/>
          <w:rtl w:val="0"/>
          <w:lang w:val="en-US"/>
        </w:rPr>
        <w:t>Beck, K.; Beedle, M.; van Bennekum, A.; Cockburn, A.; Cunningham, W.; Fowler, M.; Grenning, J.; Highsmith, J.; Hunt, A.; Jeffries, R.; Kern, J.; Marick, B.; Martin, R. C.; Mellor, S.; Schwaber, K.; Sutherland, J. &amp; Thomas, D. (2001), 'Manifesto for Agile Software Development</w:t>
      </w:r>
      <w:r>
        <w:rPr>
          <w:rFonts w:hAnsi="Trebuchet MS" w:hint="default"/>
          <w:rtl w:val="0"/>
          <w:lang w:val="en-US"/>
        </w:rPr>
        <w:t>’</w:t>
      </w:r>
      <w:r>
        <w:rPr>
          <w:rFonts w:ascii="Trebuchet MS"/>
          <w:rtl w:val="0"/>
          <w:lang w:val="en-US"/>
        </w:rPr>
        <w:t>. [Online] Available at: &lt;</w:t>
      </w:r>
      <w:r>
        <w:rPr>
          <w:rFonts w:ascii="Trebuchet MS"/>
          <w:rtl w:val="0"/>
        </w:rPr>
        <w:t>http://agilemanifesto.org/</w:t>
      </w:r>
      <w:r>
        <w:rPr>
          <w:rFonts w:ascii="Trebuchet MS"/>
          <w:rtl w:val="0"/>
          <w:lang w:val="en-US"/>
        </w:rPr>
        <w:t>&gt; [Accessed: 07/10/14]</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4">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0"/>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fr-FR"/>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