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r>
        <w:rPr>
          <w:rFonts w:ascii="Calibri" w:cs="Calibri" w:eastAsia="Calibri" w:hAnsi="Calibri"/>
          <w:b/>
          <w:bCs/>
          <w:color w:val="1A2B4A"/>
          <w:sz w:val="96"/>
          <w:szCs w:val="96"/>
        </w:rPr>
        <w:t xml:space="preserve">NEXA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2E6BE6"/>
          <w:sz w:val="28"/>
          <w:szCs w:val="28"/>
        </w:rPr>
        <w:t xml:space="preserve">Conectamos clientes y negocios</w:t>
      </w:r>
    </w:p>
    <w:p>
      <w:pPr>
        <w:pBdr>
          <w:bottom w:val="single" w:color="D5DCE8" w:sz="6"/>
        </w:pBdr>
        <w:spacing w:after="120" w:before="120"/>
      </w:pPr>
      <w:r>
        <w:t xml:space="preserve"/>
      </w:r>
    </w:p>
    <w:p>
      <w:pPr>
        <w:spacing w:before="200"/>
      </w:pPr>
      <w:r>
        <w:rPr>
          <w:rFonts w:ascii="Calibri" w:cs="Calibri" w:eastAsia="Calibri" w:hAnsi="Calibri"/>
          <w:b/>
          <w:bCs/>
          <w:color w:val="1A2B4A"/>
          <w:sz w:val="40"/>
          <w:szCs w:val="40"/>
        </w:rPr>
        <w:t xml:space="preserve">Lean Canvas</w:t>
      </w:r>
    </w:p>
    <w:p>
      <w:pPr>
        <w:spacing w:after="400"/>
      </w:pPr>
      <w:r>
        <w:rPr>
          <w:rFonts w:ascii="Calibri" w:cs="Calibri" w:eastAsia="Calibri" w:hAnsi="Calibri"/>
          <w:color w:val="5A6270"/>
          <w:sz w:val="28"/>
          <w:szCs w:val="28"/>
        </w:rPr>
        <w:t xml:space="preserve">Nexa · Modelo de negocio en una vista</w:t>
      </w:r>
    </w:p>
    <w:p>
      <w:r>
        <w:rPr>
          <w:rFonts w:ascii="Calibri" w:cs="Calibri" w:eastAsia="Calibri" w:hAnsi="Calibri"/>
          <w:color w:val="5A6270"/>
          <w:sz w:val="21"/>
          <w:szCs w:val="21"/>
        </w:rPr>
        <w:t xml:space="preserve">Versión 0.1 — borrador inicial</w:t>
      </w:r>
    </w:p>
    <w:p>
      <w:r>
        <w:rPr>
          <w:rFonts w:ascii="Calibri" w:cs="Calibri" w:eastAsia="Calibri" w:hAnsi="Calibri"/>
          <w:color w:val="5A6270"/>
          <w:sz w:val="21"/>
          <w:szCs w:val="21"/>
        </w:rPr>
        <w:t xml:space="preserve">Julio 2026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2B4A"/>
          <w:sz w:val="30"/>
          <w:szCs w:val="30"/>
        </w:rPr>
        <w:t xml:space="preserve">Lean Canvas — Nexa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E6BE6"/>
          <w:sz w:val="22"/>
          <w:szCs w:val="22"/>
        </w:rPr>
        <w:t xml:space="preserve">1. Problema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Gestión manual de filas (papel, gritar nombres).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Clientes que se van por falta de información.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Restaurantes sin datos de espera, no-shows ni rotación.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E6BE6"/>
          <w:sz w:val="22"/>
          <w:szCs w:val="22"/>
        </w:rPr>
        <w:t xml:space="preserve">2. Segmentos de clientes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Restaurantes con alto flujo y filas de espera.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Extensible: clínicas, barberías, retail, trámites.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Early adopters: restaurantes que valoran tecnología y experiencia.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E6BE6"/>
          <w:sz w:val="22"/>
          <w:szCs w:val="22"/>
        </w:rPr>
        <w:t xml:space="preserve">3. Propuesta única de valor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Digitaliza tu fila en minutos y empieza gratis.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Mejor experiencia para el comensal, control y datos para el negocio.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Nexa: conectamos clientes y negocios.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E6BE6"/>
          <w:sz w:val="22"/>
          <w:szCs w:val="22"/>
        </w:rPr>
        <w:t xml:space="preserve">4. Solución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Alta digital vía QR / código / catálogo.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Notificaciones de turno (web gratis; SMS/WhatsApp de pago).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Gestión en tiempo real + panel de métricas.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E6BE6"/>
          <w:sz w:val="22"/>
          <w:szCs w:val="22"/>
        </w:rPr>
        <w:t xml:space="preserve">5. Canales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Venta directa a restaurantes.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Boca a boca / referidos.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Catálogo público de Nexa como vitrina.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[POR DEFINIR — redes, alianzas con distribuidores de POS].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E6BE6"/>
          <w:sz w:val="22"/>
          <w:szCs w:val="22"/>
        </w:rPr>
        <w:t xml:space="preserve">6. Flujos de ingreso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Suscripción / uso por notificaciones SMS y WhatsApp.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Funcionalidad premium futura (reservas, CRM, menú).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[POR DEFINIR — precios exactos].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E6BE6"/>
          <w:sz w:val="22"/>
          <w:szCs w:val="22"/>
        </w:rPr>
        <w:t xml:space="preserve">7. Estructura de costos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Infraestructura (hosting, base de datos).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Costo por mensaje SMS/WhatsApp (Twilio u otro).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Desarrollo y soporte.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Adquisición de clientes.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E6BE6"/>
          <w:sz w:val="22"/>
          <w:szCs w:val="22"/>
        </w:rPr>
        <w:t xml:space="preserve">8. Métricas clave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Restaurantes activos y retención.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Comensales anotados por semana.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Conversión anotado → sentado; reducción de no-shows.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Conversión gratis → pago.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E6BE6"/>
          <w:sz w:val="22"/>
          <w:szCs w:val="22"/>
        </w:rPr>
        <w:t xml:space="preserve">9. Ventaja injusta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Experiencia de usuario superior como diferenciador.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Datos propietarios de comportamiento de filas.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[POR DEFINIR — relaciones, integración temprana con POS locales].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2026-07-07T19:56:08.703Z</dcterms:created>
  <dcterms:modified xsi:type="dcterms:W3CDTF">2026-07-07T19:56:08.703Z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