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r>
        <w:rPr>
          <w:rFonts w:ascii="Calibri" w:cs="Calibri" w:eastAsia="Calibri" w:hAnsi="Calibri"/>
          <w:b/>
          <w:bCs/>
          <w:color w:val="1A2B4A"/>
          <w:sz w:val="96"/>
          <w:szCs w:val="96"/>
        </w:rPr>
        <w:t xml:space="preserve">NEXA</w:t>
      </w:r>
    </w:p>
    <w:p>
      <w:pPr>
        <w:spacing w:after="60"/>
      </w:pPr>
      <w:r>
        <w:rPr>
          <w:rFonts w:ascii="Calibri" w:cs="Calibri" w:eastAsia="Calibri" w:hAnsi="Calibri"/>
          <w:i/>
          <w:iCs/>
          <w:color w:val="2E6BE6"/>
          <w:sz w:val="28"/>
          <w:szCs w:val="28"/>
        </w:rPr>
        <w:t xml:space="preserve">Conectamos clientes y negocios</w:t>
      </w:r>
    </w:p>
    <w:p>
      <w:pPr>
        <w:pBdr>
          <w:bottom w:val="single" w:color="D5DCE8" w:sz="6"/>
        </w:pBdr>
        <w:spacing w:after="120" w:before="120"/>
      </w:pPr>
      <w:r>
        <w:t xml:space="preserve"/>
      </w:r>
    </w:p>
    <w:p>
      <w:pPr>
        <w:spacing w:before="200"/>
      </w:pPr>
      <w:r>
        <w:rPr>
          <w:rFonts w:ascii="Calibri" w:cs="Calibri" w:eastAsia="Calibri" w:hAnsi="Calibri"/>
          <w:b/>
          <w:bCs/>
          <w:color w:val="1A2B4A"/>
          <w:sz w:val="40"/>
          <w:szCs w:val="40"/>
        </w:rPr>
        <w:t xml:space="preserve">Roadmap de Producto</w:t>
      </w:r>
    </w:p>
    <w:p>
      <w:pPr>
        <w:spacing w:after="400"/>
      </w:pPr>
      <w:r>
        <w:rPr>
          <w:rFonts w:ascii="Calibri" w:cs="Calibri" w:eastAsia="Calibri" w:hAnsi="Calibri"/>
          <w:color w:val="5A6270"/>
          <w:sz w:val="28"/>
          <w:szCs w:val="28"/>
        </w:rPr>
        <w:t xml:space="preserve">Nexa · De listas de espera a plataforma</w:t>
      </w:r>
    </w:p>
    <w:p>
      <w:r>
        <w:rPr>
          <w:rFonts w:ascii="Calibri" w:cs="Calibri" w:eastAsia="Calibri" w:hAnsi="Calibri"/>
          <w:color w:val="5A6270"/>
          <w:sz w:val="21"/>
          <w:szCs w:val="21"/>
        </w:rPr>
        <w:t xml:space="preserve">Versión 0.1 — borrador inicial</w:t>
      </w:r>
    </w:p>
    <w:p>
      <w:r>
        <w:rPr>
          <w:rFonts w:ascii="Calibri" w:cs="Calibri" w:eastAsia="Calibri" w:hAnsi="Calibri"/>
          <w:color w:val="5A6270"/>
          <w:sz w:val="21"/>
          <w:szCs w:val="21"/>
        </w:rPr>
        <w:t xml:space="preserve">Julio 2026</w:t>
      </w:r>
    </w:p>
    <w:p>
      <w:r>
        <w:br w:type="page"/>
      </w:r>
    </w:p>
    <w:p>
      <w:pPr>
        <w:pStyle w:val="Heading1"/>
        <w:spacing w:after="140" w:before="320"/>
      </w:pPr>
      <w:r>
        <w:rPr>
          <w:rFonts w:ascii="Calibri" w:cs="Calibri" w:eastAsia="Calibri" w:hAnsi="Calibri"/>
          <w:b/>
          <w:bCs/>
          <w:color w:val="1A2B4A"/>
          <w:sz w:val="30"/>
          <w:szCs w:val="30"/>
        </w:rPr>
        <w:t xml:space="preserve">Visión de plataforma</w:t>
      </w:r>
    </w:p>
    <w:p>
      <w:pPr>
        <w:spacing w:after="120" w:line="276"/>
      </w:pPr>
      <w:r>
        <w:rPr>
          <w:rFonts w:ascii="Calibri" w:cs="Calibri" w:eastAsia="Calibri" w:hAnsi="Calibri"/>
          <w:color w:val="222222"/>
          <w:sz w:val="21"/>
          <w:szCs w:val="21"/>
        </w:rPr>
        <w:t xml:space="preserve">Nexa empieza por las listas de espera, pero está diseñada para convertirse en una suite de servicios para restaurantes (y otros negocios). El roadmap prioriza validar el núcleo antes de expandir.</w:t>
      </w:r>
    </w:p>
    <w:p>
      <w:pPr>
        <w:pStyle w:val="Heading1"/>
        <w:spacing w:after="140" w:before="320"/>
      </w:pPr>
      <w:r>
        <w:rPr>
          <w:rFonts w:ascii="Calibri" w:cs="Calibri" w:eastAsia="Calibri" w:hAnsi="Calibri"/>
          <w:b/>
          <w:bCs/>
          <w:color w:val="1A2B4A"/>
          <w:sz w:val="30"/>
          <w:szCs w:val="30"/>
        </w:rPr>
        <w:t xml:space="preserve">Fase 1 — MVP: Listas de espera (ahora)</w:t>
      </w:r>
    </w:p>
    <w:p>
      <w:pPr>
        <w:pStyle w:val="ListParagraph"/>
        <w:numPr>
          <w:ilvl w:val="0"/>
          <w:numId w:val="2"/>
        </w:numPr>
        <w:spacing w:after="60" w:line="268"/>
      </w:pPr>
      <w:r>
        <w:rPr>
          <w:rFonts w:ascii="Calibri" w:cs="Calibri" w:eastAsia="Calibri" w:hAnsi="Calibri"/>
          <w:color w:val="222222"/>
          <w:sz w:val="21"/>
          <w:szCs w:val="21"/>
        </w:rPr>
        <w:t xml:space="preserve">Webapp de cliente (QR / código / catálogo; guest y registrado).</w:t>
      </w:r>
    </w:p>
    <w:p>
      <w:pPr>
        <w:pStyle w:val="ListParagraph"/>
        <w:numPr>
          <w:ilvl w:val="0"/>
          <w:numId w:val="2"/>
        </w:numPr>
        <w:spacing w:after="60" w:line="268"/>
      </w:pPr>
      <w:r>
        <w:rPr>
          <w:rFonts w:ascii="Calibri" w:cs="Calibri" w:eastAsia="Calibri" w:hAnsi="Calibri"/>
          <w:color w:val="222222"/>
          <w:sz w:val="21"/>
          <w:szCs w:val="21"/>
        </w:rPr>
        <w:t xml:space="preserve">Webapp de recepción en tiempo real; múltiples colas.</w:t>
      </w:r>
    </w:p>
    <w:p>
      <w:pPr>
        <w:pStyle w:val="ListParagraph"/>
        <w:numPr>
          <w:ilvl w:val="0"/>
          <w:numId w:val="2"/>
        </w:numPr>
        <w:spacing w:after="60" w:line="268"/>
      </w:pPr>
      <w:r>
        <w:rPr>
          <w:rFonts w:ascii="Calibri" w:cs="Calibri" w:eastAsia="Calibri" w:hAnsi="Calibri"/>
          <w:color w:val="222222"/>
          <w:sz w:val="21"/>
          <w:szCs w:val="21"/>
        </w:rPr>
        <w:t xml:space="preserve">Panel de administración con métricas.</w:t>
      </w:r>
    </w:p>
    <w:p>
      <w:pPr>
        <w:pStyle w:val="ListParagraph"/>
        <w:numPr>
          <w:ilvl w:val="0"/>
          <w:numId w:val="2"/>
        </w:numPr>
        <w:spacing w:after="60" w:line="268"/>
      </w:pPr>
      <w:r>
        <w:rPr>
          <w:rFonts w:ascii="Calibri" w:cs="Calibri" w:eastAsia="Calibri" w:hAnsi="Calibri"/>
          <w:color w:val="222222"/>
          <w:sz w:val="21"/>
          <w:szCs w:val="21"/>
        </w:rPr>
        <w:t xml:space="preserve">Notificaciones web (gratis) + SMS/WhatsApp (pago).</w:t>
      </w:r>
    </w:p>
    <w:p>
      <w:pPr>
        <w:pStyle w:val="ListParagraph"/>
        <w:numPr>
          <w:ilvl w:val="0"/>
          <w:numId w:val="2"/>
        </w:numPr>
        <w:spacing w:after="60" w:line="268"/>
      </w:pPr>
      <w:r>
        <w:rPr>
          <w:rFonts w:ascii="Calibri" w:cs="Calibri" w:eastAsia="Calibri" w:hAnsi="Calibri"/>
          <w:color w:val="222222"/>
          <w:sz w:val="21"/>
          <w:szCs w:val="21"/>
        </w:rPr>
        <w:t xml:space="preserve">Formulario de evaluación post-servicio.</w:t>
      </w:r>
    </w:p>
    <w:p>
      <w:pPr>
        <w:spacing w:after="120" w:line="276"/>
      </w:pPr>
      <w:r>
        <w:rPr>
          <w:rFonts w:ascii="Calibri" w:cs="Calibri" w:eastAsia="Calibri" w:hAnsi="Calibri"/>
          <w:i/>
          <w:iCs/>
          <w:color w:val="5A6270"/>
          <w:sz w:val="20"/>
          <w:szCs w:val="20"/>
        </w:rPr>
        <w:t xml:space="preserve">Objetivo: validar con los primeros restaurantes reales y pulir la experiencia.</w:t>
      </w:r>
    </w:p>
    <w:p>
      <w:pPr>
        <w:pStyle w:val="Heading1"/>
        <w:spacing w:after="140" w:before="320"/>
      </w:pPr>
      <w:r>
        <w:rPr>
          <w:rFonts w:ascii="Calibri" w:cs="Calibri" w:eastAsia="Calibri" w:hAnsi="Calibri"/>
          <w:b/>
          <w:bCs/>
          <w:color w:val="1A2B4A"/>
          <w:sz w:val="30"/>
          <w:szCs w:val="30"/>
        </w:rPr>
        <w:t xml:space="preserve">Fase 2 — Reservas y relación con el cliente</w:t>
      </w:r>
    </w:p>
    <w:p>
      <w:pPr>
        <w:pStyle w:val="ListParagraph"/>
        <w:numPr>
          <w:ilvl w:val="0"/>
          <w:numId w:val="2"/>
        </w:numPr>
        <w:spacing w:after="60" w:line="268"/>
      </w:pPr>
      <w:r>
        <w:rPr>
          <w:rFonts w:ascii="Calibri" w:cs="Calibri" w:eastAsia="Calibri" w:hAnsi="Calibri"/>
          <w:color w:val="222222"/>
          <w:sz w:val="21"/>
          <w:szCs w:val="21"/>
        </w:rPr>
        <w:t xml:space="preserve">Reservaciones (unificadas con walk-ins en una sola cola).</w:t>
      </w:r>
    </w:p>
    <w:p>
      <w:pPr>
        <w:pStyle w:val="ListParagraph"/>
        <w:numPr>
          <w:ilvl w:val="0"/>
          <w:numId w:val="2"/>
        </w:numPr>
        <w:spacing w:after="60" w:line="268"/>
      </w:pPr>
      <w:r>
        <w:rPr>
          <w:rFonts w:ascii="Calibri" w:cs="Calibri" w:eastAsia="Calibri" w:hAnsi="Calibri"/>
          <w:color w:val="222222"/>
          <w:sz w:val="21"/>
          <w:szCs w:val="21"/>
        </w:rPr>
        <w:t xml:space="preserve">CRM de comensales (frecuencia, preferencias, cumpleaños, campañas de retorno).</w:t>
      </w:r>
    </w:p>
    <w:p>
      <w:pPr>
        <w:pStyle w:val="ListParagraph"/>
        <w:numPr>
          <w:ilvl w:val="0"/>
          <w:numId w:val="2"/>
        </w:numPr>
        <w:spacing w:after="60" w:line="268"/>
      </w:pPr>
      <w:r>
        <w:rPr>
          <w:rFonts w:ascii="Calibri" w:cs="Calibri" w:eastAsia="Calibri" w:hAnsi="Calibri"/>
          <w:color w:val="222222"/>
          <w:sz w:val="21"/>
          <w:szCs w:val="21"/>
        </w:rPr>
        <w:t xml:space="preserve">Programa de lealtad / reseñas automáticas.</w:t>
      </w:r>
    </w:p>
    <w:p>
      <w:pPr>
        <w:pStyle w:val="Heading1"/>
        <w:spacing w:after="140" w:before="320"/>
      </w:pPr>
      <w:r>
        <w:rPr>
          <w:rFonts w:ascii="Calibri" w:cs="Calibri" w:eastAsia="Calibri" w:hAnsi="Calibri"/>
          <w:b/>
          <w:bCs/>
          <w:color w:val="1A2B4A"/>
          <w:sz w:val="30"/>
          <w:szCs w:val="30"/>
        </w:rPr>
        <w:t xml:space="preserve">Fase 3 — Operación y monetización avanzada</w:t>
      </w:r>
    </w:p>
    <w:p>
      <w:pPr>
        <w:pStyle w:val="ListParagraph"/>
        <w:numPr>
          <w:ilvl w:val="0"/>
          <w:numId w:val="2"/>
        </w:numPr>
        <w:spacing w:after="60" w:line="268"/>
      </w:pPr>
      <w:r>
        <w:rPr>
          <w:rFonts w:ascii="Calibri" w:cs="Calibri" w:eastAsia="Calibri" w:hAnsi="Calibri"/>
          <w:color w:val="222222"/>
          <w:sz w:val="21"/>
          <w:szCs w:val="21"/>
        </w:rPr>
        <w:t xml:space="preserve">Gestión de mesas / floor plan visual.</w:t>
      </w:r>
    </w:p>
    <w:p>
      <w:pPr>
        <w:pStyle w:val="ListParagraph"/>
        <w:numPr>
          <w:ilvl w:val="0"/>
          <w:numId w:val="2"/>
        </w:numPr>
        <w:spacing w:after="60" w:line="268"/>
      </w:pPr>
      <w:r>
        <w:rPr>
          <w:rFonts w:ascii="Calibri" w:cs="Calibri" w:eastAsia="Calibri" w:hAnsi="Calibri"/>
          <w:color w:val="222222"/>
          <w:sz w:val="21"/>
          <w:szCs w:val="21"/>
        </w:rPr>
        <w:t xml:space="preserve">Menú digital por QR y pedido en mesa.</w:t>
      </w:r>
    </w:p>
    <w:p>
      <w:pPr>
        <w:pStyle w:val="ListParagraph"/>
        <w:numPr>
          <w:ilvl w:val="0"/>
          <w:numId w:val="2"/>
        </w:numPr>
        <w:spacing w:after="60" w:line="268"/>
      </w:pPr>
      <w:r>
        <w:rPr>
          <w:rFonts w:ascii="Calibri" w:cs="Calibri" w:eastAsia="Calibri" w:hAnsi="Calibri"/>
          <w:color w:val="222222"/>
          <w:sz w:val="21"/>
          <w:szCs w:val="21"/>
        </w:rPr>
        <w:t xml:space="preserve">Pago en mesa e integración con POS (Toast, Square, SoftRestaurant).</w:t>
      </w:r>
    </w:p>
    <w:p>
      <w:pPr>
        <w:pStyle w:val="ListParagraph"/>
        <w:numPr>
          <w:ilvl w:val="0"/>
          <w:numId w:val="2"/>
        </w:numPr>
        <w:spacing w:after="60" w:line="268"/>
      </w:pPr>
      <w:r>
        <w:rPr>
          <w:rFonts w:ascii="Calibri" w:cs="Calibri" w:eastAsia="Calibri" w:hAnsi="Calibri"/>
          <w:color w:val="222222"/>
          <w:sz w:val="21"/>
          <w:szCs w:val="21"/>
        </w:rPr>
        <w:t xml:space="preserve">Analytics avanzado (ticket promedio, productos más vendidos).</w:t>
      </w:r>
    </w:p>
    <w:p>
      <w:pPr>
        <w:pStyle w:val="Heading1"/>
        <w:spacing w:after="140" w:before="320"/>
      </w:pPr>
      <w:r>
        <w:rPr>
          <w:rFonts w:ascii="Calibri" w:cs="Calibri" w:eastAsia="Calibri" w:hAnsi="Calibri"/>
          <w:b/>
          <w:bCs/>
          <w:color w:val="1A2B4A"/>
          <w:sz w:val="30"/>
          <w:szCs w:val="30"/>
        </w:rPr>
        <w:t xml:space="preserve">Fase 4 — Expansión</w:t>
      </w:r>
    </w:p>
    <w:p>
      <w:pPr>
        <w:pStyle w:val="ListParagraph"/>
        <w:numPr>
          <w:ilvl w:val="0"/>
          <w:numId w:val="2"/>
        </w:numPr>
        <w:spacing w:after="60" w:line="268"/>
      </w:pPr>
      <w:r>
        <w:rPr>
          <w:rFonts w:ascii="Calibri" w:cs="Calibri" w:eastAsia="Calibri" w:hAnsi="Calibri"/>
          <w:color w:val="222222"/>
          <w:sz w:val="21"/>
          <w:szCs w:val="21"/>
        </w:rPr>
        <w:t xml:space="preserve">Otros verticales: clínicas, barberías, retail, trámites.</w:t>
      </w:r>
    </w:p>
    <w:p>
      <w:pPr>
        <w:pStyle w:val="ListParagraph"/>
        <w:numPr>
          <w:ilvl w:val="0"/>
          <w:numId w:val="2"/>
        </w:numPr>
        <w:spacing w:after="60" w:line="268"/>
      </w:pPr>
      <w:r>
        <w:rPr>
          <w:rFonts w:ascii="Calibri" w:cs="Calibri" w:eastAsia="Calibri" w:hAnsi="Calibri"/>
          <w:color w:val="222222"/>
          <w:sz w:val="21"/>
          <w:szCs w:val="21"/>
        </w:rPr>
        <w:t xml:space="preserve">App móvil nativa.</w:t>
      </w:r>
    </w:p>
    <w:p>
      <w:pPr>
        <w:pStyle w:val="ListParagraph"/>
        <w:numPr>
          <w:ilvl w:val="0"/>
          <w:numId w:val="2"/>
        </w:numPr>
        <w:spacing w:after="60" w:line="268"/>
      </w:pPr>
      <w:r>
        <w:rPr>
          <w:rFonts w:ascii="Calibri" w:cs="Calibri" w:eastAsia="Calibri" w:hAnsi="Calibri"/>
          <w:color w:val="222222"/>
          <w:sz w:val="21"/>
          <w:szCs w:val="21"/>
        </w:rPr>
        <w:t xml:space="preserve">Gestión de personal / turnos.</w:t>
      </w:r>
    </w:p>
    <w:p>
      <w:pPr>
        <w:pStyle w:val="Heading1"/>
        <w:spacing w:after="140" w:before="320"/>
      </w:pPr>
      <w:r>
        <w:rPr>
          <w:rFonts w:ascii="Calibri" w:cs="Calibri" w:eastAsia="Calibri" w:hAnsi="Calibri"/>
          <w:b/>
          <w:bCs/>
          <w:color w:val="1A2B4A"/>
          <w:sz w:val="30"/>
          <w:szCs w:val="30"/>
        </w:rPr>
        <w:t xml:space="preserve">Nota</w:t>
      </w:r>
    </w:p>
    <w:p>
      <w:pPr>
        <w:spacing w:after="120" w:line="276"/>
      </w:pPr>
      <w:r>
        <w:rPr>
          <w:rFonts w:ascii="Calibri" w:cs="Calibri" w:eastAsia="Calibri" w:hAnsi="Calibri"/>
          <w:color w:val="222222"/>
          <w:sz w:val="21"/>
          <w:szCs w:val="21"/>
        </w:rPr>
        <w:t xml:space="preserve">Las fechas son [POR DEFINIR]. El orden refleja dependencia y valor: cada fase se apoya en los datos y la base construida en la anterior. La integración con POS (Fase 3) es el mayor multiplicador y conviene contemplarla en la arquitectura desde temprano.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2026-07-07T19:56:08.774Z</dcterms:created>
  <dcterms:modified xsi:type="dcterms:W3CDTF">2026-07-07T19:56:08.774Z</dcterms:modified>
</cp:coreProperties>
</file>

<file path=docProps/custom.xml><?xml version="1.0" encoding="utf-8"?>
<Properties xmlns="http://schemas.openxmlformats.org/officeDocument/2006/custom-properties" xmlns:vt="http://schemas.openxmlformats.org/officeDocument/2006/docPropsVTypes"/>
</file>