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200400" cy="2038773"/>
            <wp:docPr id="1" name="Picture 1"/>
            <wp:cNvGraphicFramePr>
              <a:graphicFrameLocks noChangeAspect="1"/>
            </wp:cNvGraphicFramePr>
            <a:graphic>
              <a:graphicData uri="http://schemas.openxmlformats.org/drawingml/2006/picture">
                <pic:pic>
                  <pic:nvPicPr>
                    <pic:cNvPr id="0" name="banner.jpg"/>
                    <pic:cNvPicPr/>
                  </pic:nvPicPr>
                  <pic:blipFill>
                    <a:blip r:embed="rId9"/>
                    <a:stretch>
                      <a:fillRect/>
                    </a:stretch>
                  </pic:blipFill>
                  <pic:spPr>
                    <a:xfrm>
                      <a:off x="0" y="0"/>
                      <a:ext cx="3200400" cy="2038773"/>
                    </a:xfrm>
                    <a:prstGeom prst="rect"/>
                  </pic:spPr>
                </pic:pic>
              </a:graphicData>
            </a:graphic>
          </wp:inline>
        </w:drawing>
      </w:r>
    </w:p>
    <w:p>
      <w:pPr>
        <w:jc w:val="center"/>
      </w:pPr>
      <w:r>
        <w:rPr>
          <w:rFonts w:ascii="Georgia" w:hAnsi="Georgia"/>
          <w:b/>
          <w:sz w:val="40"/>
        </w:rPr>
        <w:t>THRONE ROOM OF GOD KINGDOM CENTER</w:t>
      </w:r>
    </w:p>
    <w:p>
      <w:pPr>
        <w:jc w:val="center"/>
      </w:pPr>
      <w:r>
        <w:rPr>
          <w:rFonts w:ascii="Georgia" w:hAnsi="Georgia"/>
          <w:i/>
          <w:sz w:val="28"/>
        </w:rPr>
        <w:t>Volume V — Performance and Continuous Improvement</w:t>
      </w:r>
    </w:p>
    <w:p/>
    <w:p>
      <w:pPr>
        <w:jc w:val="center"/>
      </w:pPr>
      <w:r>
        <w:rPr>
          <w:rFonts w:ascii="Georgia" w:hAnsi="Georgia"/>
          <w:b/>
          <w:sz w:val="52"/>
        </w:rPr>
        <w:t>The KPI and Performance Management Manual</w:t>
      </w:r>
    </w:p>
    <w:p/>
    <w:p>
      <w:pPr>
        <w:jc w:val="center"/>
      </w:pPr>
      <w:r>
        <w:rPr>
          <w:rFonts w:ascii="Arial" w:hAnsi="Arial"/>
          <w:i/>
          <w:sz w:val="24"/>
        </w:rPr>
        <w:t>Publication-Quality Edition · Version 1.0 · 2026</w:t>
      </w:r>
    </w:p>
    <w:p>
      <w:pPr>
        <w:jc w:val="center"/>
      </w:pPr>
      <w:r>
        <w:rPr>
          <w:rFonts w:ascii="Arial" w:hAnsi="Arial"/>
          <w:i/>
          <w:sz w:val="24"/>
        </w:rPr>
        <w:t>Prepared for the Chairperson and the Congregation.</w:t>
      </w:r>
    </w:p>
    <w:p>
      <w:r>
        <w:br w:type="page"/>
      </w:r>
    </w:p>
    <w:p>
      <w:pPr>
        <w:pStyle w:val="Heading1"/>
      </w:pPr>
      <w:r>
        <w:rPr>
          <w:rFonts w:ascii="Georgia" w:hAnsi="Georgia"/>
          <w:b w:val="0"/>
          <w:i w:val="0"/>
        </w:rPr>
        <w:t>Foreword</w:t>
      </w:r>
    </w:p>
    <w:p>
      <w:r>
        <w:rPr>
          <w:rFonts w:ascii="Arial" w:hAnsi="Arial"/>
          <w:b w:val="0"/>
          <w:i w:val="0"/>
          <w:sz w:val="24"/>
        </w:rPr>
        <w:t>The KPI and Performance Management Manual is issued by Throne Room of God Kingdom Center as part of a unified body of governance documents that together articulate the identity, doctrine, governance, ministry operations, financial stewardship, and performance culture of the Ministry. It is written in the conviction that the Church of the Living God must be built on the sure foundation of Scripture, ordered by the wisdom of the Spirit, and expressed through structures that are transparent, accountable, and excellent.</w:t>
      </w:r>
    </w:p>
    <w:p>
      <w:r>
        <w:rPr>
          <w:rFonts w:ascii="Arial" w:hAnsi="Arial"/>
          <w:b w:val="0"/>
          <w:i w:val="0"/>
          <w:sz w:val="24"/>
        </w:rPr>
        <w:t>Every provision in this Manual is subordinate to the Constitution of the Church and aligned to its Vision, Mission, and Values. Leaders, ministers, staff, and members are expected to be conversant with the contents of this Manual and to apply its provisions faithfully in the discharge of their duties.</w:t>
      </w:r>
    </w:p>
    <w:p>
      <w:r>
        <w:rPr>
          <w:rFonts w:ascii="Arial" w:hAnsi="Arial"/>
          <w:b w:val="0"/>
          <w:i w:val="0"/>
          <w:sz w:val="24"/>
        </w:rPr>
        <w:t>Signed on behalf of the Ministry,</w:t>
      </w:r>
    </w:p>
    <w:p>
      <w:r>
        <w:rPr>
          <w:rFonts w:ascii="Arial" w:hAnsi="Arial"/>
          <w:b w:val="0"/>
          <w:i/>
          <w:sz w:val="24"/>
        </w:rPr>
        <w:t>The Chairperson</w:t>
      </w:r>
    </w:p>
    <w:p>
      <w:pPr>
        <w:pStyle w:val="Heading1"/>
      </w:pPr>
      <w:r>
        <w:rPr>
          <w:rFonts w:ascii="Georgia" w:hAnsi="Georgia"/>
          <w:b w:val="0"/>
          <w:i w:val="0"/>
        </w:rPr>
        <w:t>Vision and Mission</w:t>
      </w:r>
    </w:p>
    <w:p>
      <w:pPr>
        <w:pStyle w:val="Heading2"/>
      </w:pPr>
      <w:r>
        <w:rPr>
          <w:rFonts w:ascii="Georgia" w:hAnsi="Georgia"/>
          <w:b w:val="0"/>
          <w:i w:val="0"/>
        </w:rPr>
        <w:t>Vision</w:t>
      </w:r>
    </w:p>
    <w:p>
      <w:r>
        <w:rPr>
          <w:rFonts w:ascii="Arial" w:hAnsi="Arial"/>
          <w:b w:val="0"/>
          <w:i w:val="0"/>
          <w:sz w:val="24"/>
        </w:rPr>
        <w:t>Our vision is to doctrinally equip the saints in alignment with the biblical standards of God's Kingdom, forming a Christ-centered nature and culture that reflects the character of our Lord Jesus Christ. We are committed to establishing strong apostolic foundations that effectively resource and steward Kingdom assignments for global impact, while restoring integrity and purity within the prophetic ministry.</w:t>
      </w:r>
    </w:p>
    <w:p>
      <w:pPr>
        <w:pStyle w:val="Heading2"/>
      </w:pPr>
      <w:r>
        <w:rPr>
          <w:rFonts w:ascii="Georgia" w:hAnsi="Georgia"/>
          <w:b w:val="0"/>
          <w:i w:val="0"/>
        </w:rPr>
        <w:t>Mission</w:t>
      </w:r>
    </w:p>
    <w:p>
      <w:pPr>
        <w:pStyle w:val="ListBullet"/>
      </w:pPr>
      <w:r>
        <w:rPr>
          <w:rFonts w:ascii="Arial" w:hAnsi="Arial"/>
          <w:sz w:val="24"/>
        </w:rPr>
        <w:t>Consistently teach and mature believers in the biblical doctrines of the Christian faith.</w:t>
      </w:r>
    </w:p>
    <w:p>
      <w:pPr>
        <w:pStyle w:val="ListBullet"/>
      </w:pPr>
      <w:r>
        <w:rPr>
          <w:rFonts w:ascii="Arial" w:hAnsi="Arial"/>
          <w:sz w:val="24"/>
        </w:rPr>
        <w:t>Intentionally model and cultivate a life that reflects Christ-centeredness.</w:t>
      </w:r>
    </w:p>
    <w:p>
      <w:pPr>
        <w:pStyle w:val="ListBullet"/>
      </w:pPr>
      <w:r>
        <w:rPr>
          <w:rFonts w:ascii="Arial" w:hAnsi="Arial"/>
          <w:sz w:val="24"/>
        </w:rPr>
        <w:t>Provide training and development for leaders and ministers called for Kingdom purposes.</w:t>
      </w:r>
    </w:p>
    <w:p>
      <w:pPr>
        <w:pStyle w:val="ListBullet"/>
      </w:pPr>
      <w:r>
        <w:rPr>
          <w:rFonts w:ascii="Arial" w:hAnsi="Arial"/>
          <w:sz w:val="24"/>
        </w:rPr>
        <w:t>Commission fully equipped ambassadors and establish kingdom centres for global assignments.</w:t>
      </w:r>
    </w:p>
    <w:p>
      <w:pPr>
        <w:pStyle w:val="ListBullet"/>
      </w:pPr>
      <w:r>
        <w:rPr>
          <w:rFonts w:ascii="Arial" w:hAnsi="Arial"/>
          <w:sz w:val="24"/>
        </w:rPr>
        <w:t>Bring clarity, order, and distinction to prophetic expressions within the Body of Christ.</w:t>
      </w:r>
    </w:p>
    <w:p>
      <w:pPr>
        <w:pStyle w:val="Heading1"/>
      </w:pPr>
      <w:r>
        <w:rPr>
          <w:rFonts w:ascii="Georgia" w:hAnsi="Georgia"/>
          <w:b w:val="0"/>
          <w:i w:val="0"/>
        </w:rPr>
        <w:t>Table of Contents</w:t>
      </w:r>
    </w:p>
    <w:p>
      <w:r>
        <w:fldChar w:fldCharType="begin"/>
        <w:instrText xml:space="preserve">TOC \o "1-2" \h \z \u</w:instrText>
        <w:fldChar w:fldCharType="separate"/>
        <w:t>Right-click and select 'Update Field' to build the Table of Contents.</w:t>
        <w:fldChar w:fldCharType="end"/>
      </w:r>
    </w:p>
    <w:p>
      <w:r>
        <w:br w:type="page"/>
      </w:r>
    </w:p>
    <w:p>
      <w:pPr>
        <w:pStyle w:val="Heading1"/>
      </w:pPr>
      <w:r>
        <w:rPr>
          <w:rFonts w:ascii="Georgia" w:hAnsi="Georgia"/>
          <w:b w:val="0"/>
          <w:i w:val="0"/>
        </w:rPr>
        <w:t>Definitions and Interpretation</w:t>
      </w:r>
    </w:p>
    <w:p>
      <w:r>
        <w:rPr>
          <w:rFonts w:ascii="Arial" w:hAnsi="Arial"/>
          <w:b w:val="0"/>
          <w:i w:val="0"/>
          <w:sz w:val="24"/>
        </w:rPr>
        <w:t>In this Manual, unless the context otherwise requires, the following terms shall bear the meanings assigned to them below:</w:t>
      </w:r>
    </w:p>
    <w:tbl>
      <w:tblPr>
        <w:tblStyle w:val="LightGrid-Accent1"/>
        <w:tblW w:type="auto" w:w="0"/>
        <w:tblLayout w:type="fixed"/>
        <w:tblLook w:firstColumn="1" w:firstRow="1" w:lastColumn="0" w:lastRow="0" w:noHBand="0" w:noVBand="1" w:val="04A0"/>
      </w:tblPr>
      <w:tblGrid>
        <w:gridCol w:w="4680"/>
        <w:gridCol w:w="4680"/>
      </w:tblGrid>
      <w:tr>
        <w:tc>
          <w:tcPr>
            <w:tcW w:type="dxa" w:w="3168"/>
          </w:tcPr>
          <w:p>
            <w:r>
              <w:rPr>
                <w:rFonts w:ascii="Georgia" w:hAnsi="Georgia"/>
                <w:b/>
                <w:sz w:val="24"/>
              </w:rPr>
              <w:t>Term</w:t>
            </w:r>
          </w:p>
        </w:tc>
        <w:tc>
          <w:tcPr>
            <w:tcW w:type="dxa" w:w="6192"/>
          </w:tcPr>
          <w:p>
            <w:r>
              <w:rPr>
                <w:rFonts w:ascii="Georgia" w:hAnsi="Georgia"/>
                <w:b/>
                <w:sz w:val="24"/>
              </w:rPr>
              <w:t>Meaning</w:t>
            </w:r>
          </w:p>
        </w:tc>
      </w:tr>
      <w:tr>
        <w:tc>
          <w:tcPr>
            <w:tcW w:type="dxa" w:w="3168"/>
          </w:tcPr>
          <w:p>
            <w:r>
              <w:rPr>
                <w:rFonts w:ascii="Arial" w:hAnsi="Arial"/>
                <w:sz w:val="22"/>
              </w:rPr>
              <w:t>The Church / The Ministry</w:t>
            </w:r>
          </w:p>
        </w:tc>
        <w:tc>
          <w:tcPr>
            <w:tcW w:type="dxa" w:w="6192"/>
          </w:tcPr>
          <w:p>
            <w:r>
              <w:rPr>
                <w:rFonts w:ascii="Arial" w:hAnsi="Arial"/>
                <w:sz w:val="22"/>
              </w:rPr>
              <w:t>Refers to Throne Room of God Kingdom Center (TROGKC), including all its ministries, departments, congregations, and affiliated bodies.</w:t>
            </w:r>
          </w:p>
        </w:tc>
      </w:tr>
      <w:tr>
        <w:tc>
          <w:tcPr>
            <w:tcW w:type="dxa" w:w="3168"/>
          </w:tcPr>
          <w:p>
            <w:r>
              <w:rPr>
                <w:rFonts w:ascii="Arial" w:hAnsi="Arial"/>
                <w:sz w:val="22"/>
              </w:rPr>
              <w:t>Senior Apostle</w:t>
            </w:r>
          </w:p>
        </w:tc>
        <w:tc>
          <w:tcPr>
            <w:tcW w:type="dxa" w:w="6192"/>
          </w:tcPr>
          <w:p>
            <w:r>
              <w:rPr>
                <w:rFonts w:ascii="Arial" w:hAnsi="Arial"/>
                <w:sz w:val="22"/>
              </w:rPr>
              <w:t>The chief spiritual and governance officer of the Church, entrusted with vision, doctrine, ordination, and apostolic oversight.</w:t>
            </w:r>
          </w:p>
        </w:tc>
      </w:tr>
      <w:tr>
        <w:tc>
          <w:tcPr>
            <w:tcW w:type="dxa" w:w="3168"/>
          </w:tcPr>
          <w:p>
            <w:r>
              <w:rPr>
                <w:rFonts w:ascii="Arial" w:hAnsi="Arial"/>
                <w:sz w:val="22"/>
              </w:rPr>
              <w:t>Chairperson</w:t>
            </w:r>
          </w:p>
        </w:tc>
        <w:tc>
          <w:tcPr>
            <w:tcW w:type="dxa" w:w="6192"/>
          </w:tcPr>
          <w:p>
            <w:r>
              <w:rPr>
                <w:rFonts w:ascii="Arial" w:hAnsi="Arial"/>
                <w:sz w:val="22"/>
              </w:rPr>
              <w:t>The senior governance officer serving under the Senior Apostle and providing oversight of the executive and administrative affairs of the Ministry.</w:t>
            </w:r>
          </w:p>
        </w:tc>
      </w:tr>
      <w:tr>
        <w:tc>
          <w:tcPr>
            <w:tcW w:type="dxa" w:w="3168"/>
          </w:tcPr>
          <w:p>
            <w:r>
              <w:rPr>
                <w:rFonts w:ascii="Arial" w:hAnsi="Arial"/>
                <w:sz w:val="22"/>
              </w:rPr>
              <w:t>Associate Pastor</w:t>
            </w:r>
          </w:p>
        </w:tc>
        <w:tc>
          <w:tcPr>
            <w:tcW w:type="dxa" w:w="6192"/>
          </w:tcPr>
          <w:p>
            <w:r>
              <w:rPr>
                <w:rFonts w:ascii="Arial" w:hAnsi="Arial"/>
                <w:sz w:val="22"/>
              </w:rPr>
              <w:t>An ordained minister appointed to assist the Senior Apostle with pastoral, teaching, and departmental oversight responsibilities.</w:t>
            </w:r>
          </w:p>
        </w:tc>
      </w:tr>
      <w:tr>
        <w:tc>
          <w:tcPr>
            <w:tcW w:type="dxa" w:w="3168"/>
          </w:tcPr>
          <w:p>
            <w:r>
              <w:rPr>
                <w:rFonts w:ascii="Arial" w:hAnsi="Arial"/>
                <w:sz w:val="22"/>
              </w:rPr>
              <w:t>Elder</w:t>
            </w:r>
          </w:p>
        </w:tc>
        <w:tc>
          <w:tcPr>
            <w:tcW w:type="dxa" w:w="6192"/>
          </w:tcPr>
          <w:p>
            <w:r>
              <w:rPr>
                <w:rFonts w:ascii="Arial" w:hAnsi="Arial"/>
                <w:sz w:val="22"/>
              </w:rPr>
              <w:t>A mature, tested, and appointed spiritual leader responsible for pastoral care, counsel, and support to the congregation.</w:t>
            </w:r>
          </w:p>
        </w:tc>
      </w:tr>
      <w:tr>
        <w:tc>
          <w:tcPr>
            <w:tcW w:type="dxa" w:w="3168"/>
          </w:tcPr>
          <w:p>
            <w:r>
              <w:rPr>
                <w:rFonts w:ascii="Arial" w:hAnsi="Arial"/>
                <w:sz w:val="22"/>
              </w:rPr>
              <w:t>Church Administrator</w:t>
            </w:r>
          </w:p>
        </w:tc>
        <w:tc>
          <w:tcPr>
            <w:tcW w:type="dxa" w:w="6192"/>
          </w:tcPr>
          <w:p>
            <w:r>
              <w:rPr>
                <w:rFonts w:ascii="Arial" w:hAnsi="Arial"/>
                <w:sz w:val="22"/>
              </w:rPr>
              <w:t>The chief administrative officer responsible for governance administration, records, compliance, and operational excellence.</w:t>
            </w:r>
          </w:p>
        </w:tc>
      </w:tr>
      <w:tr>
        <w:tc>
          <w:tcPr>
            <w:tcW w:type="dxa" w:w="3168"/>
          </w:tcPr>
          <w:p>
            <w:r>
              <w:rPr>
                <w:rFonts w:ascii="Arial" w:hAnsi="Arial"/>
                <w:sz w:val="22"/>
              </w:rPr>
              <w:t>Department</w:t>
            </w:r>
          </w:p>
        </w:tc>
        <w:tc>
          <w:tcPr>
            <w:tcW w:type="dxa" w:w="6192"/>
          </w:tcPr>
          <w:p>
            <w:r>
              <w:rPr>
                <w:rFonts w:ascii="Arial" w:hAnsi="Arial"/>
                <w:sz w:val="22"/>
              </w:rPr>
              <w:t>A recognised ministry unit of the Church, established by the Constitution, with defined purpose, structure, leadership, and accountability.</w:t>
            </w:r>
          </w:p>
        </w:tc>
      </w:tr>
      <w:tr>
        <w:tc>
          <w:tcPr>
            <w:tcW w:type="dxa" w:w="3168"/>
          </w:tcPr>
          <w:p>
            <w:r>
              <w:rPr>
                <w:rFonts w:ascii="Arial" w:hAnsi="Arial"/>
                <w:sz w:val="22"/>
              </w:rPr>
              <w:t>Constitution</w:t>
            </w:r>
          </w:p>
        </w:tc>
        <w:tc>
          <w:tcPr>
            <w:tcW w:type="dxa" w:w="6192"/>
          </w:tcPr>
          <w:p>
            <w:r>
              <w:rPr>
                <w:rFonts w:ascii="Arial" w:hAnsi="Arial"/>
                <w:sz w:val="22"/>
              </w:rPr>
              <w:t>The supreme governance document of the Church, defining its identity, doctrine, governance, and constitutional offices.</w:t>
            </w:r>
          </w:p>
        </w:tc>
      </w:tr>
      <w:tr>
        <w:tc>
          <w:tcPr>
            <w:tcW w:type="dxa" w:w="3168"/>
          </w:tcPr>
          <w:p>
            <w:r>
              <w:rPr>
                <w:rFonts w:ascii="Arial" w:hAnsi="Arial"/>
                <w:sz w:val="22"/>
              </w:rPr>
              <w:t>Manual</w:t>
            </w:r>
          </w:p>
        </w:tc>
        <w:tc>
          <w:tcPr>
            <w:tcW w:type="dxa" w:w="6192"/>
          </w:tcPr>
          <w:p>
            <w:r>
              <w:rPr>
                <w:rFonts w:ascii="Arial" w:hAnsi="Arial"/>
                <w:sz w:val="22"/>
              </w:rPr>
              <w:t>Any subordinate operational document issued under the authority of the Constitution.</w:t>
            </w:r>
          </w:p>
        </w:tc>
      </w:tr>
      <w:tr>
        <w:tc>
          <w:tcPr>
            <w:tcW w:type="dxa" w:w="3168"/>
          </w:tcPr>
          <w:p>
            <w:r>
              <w:rPr>
                <w:rFonts w:ascii="Arial" w:hAnsi="Arial"/>
                <w:sz w:val="22"/>
              </w:rPr>
              <w:t>KPI</w:t>
            </w:r>
          </w:p>
        </w:tc>
        <w:tc>
          <w:tcPr>
            <w:tcW w:type="dxa" w:w="6192"/>
          </w:tcPr>
          <w:p>
            <w:r>
              <w:rPr>
                <w:rFonts w:ascii="Arial" w:hAnsi="Arial"/>
                <w:sz w:val="22"/>
              </w:rPr>
              <w:t>Key Performance Indicator; a measurable value used to evaluate the effectiveness of ministry, leadership, and operations.</w:t>
            </w:r>
          </w:p>
        </w:tc>
      </w:tr>
      <w:tr>
        <w:tc>
          <w:tcPr>
            <w:tcW w:type="dxa" w:w="3168"/>
          </w:tcPr>
          <w:p>
            <w:r>
              <w:rPr>
                <w:rFonts w:ascii="Arial" w:hAnsi="Arial"/>
                <w:sz w:val="22"/>
              </w:rPr>
              <w:t>SOP</w:t>
            </w:r>
          </w:p>
        </w:tc>
        <w:tc>
          <w:tcPr>
            <w:tcW w:type="dxa" w:w="6192"/>
          </w:tcPr>
          <w:p>
            <w:r>
              <w:rPr>
                <w:rFonts w:ascii="Arial" w:hAnsi="Arial"/>
                <w:sz w:val="22"/>
              </w:rPr>
              <w:t>Standard Operating Procedure; a documented process governing the routine execution of ministry and administrative activities.</w:t>
            </w:r>
          </w:p>
        </w:tc>
      </w:tr>
    </w:tbl>
    <w:p>
      <w:pPr>
        <w:pStyle w:val="Heading1"/>
      </w:pPr>
      <w:r>
        <w:rPr>
          <w:rFonts w:ascii="Georgia" w:hAnsi="Georgia"/>
          <w:b w:val="0"/>
          <w:i w:val="0"/>
        </w:rPr>
        <w:t>Abbreviations</w:t>
      </w:r>
    </w:p>
    <w:tbl>
      <w:tblPr>
        <w:tblStyle w:val="LightGrid-Accent1"/>
        <w:tblW w:type="auto" w:w="0"/>
        <w:tblLayout w:type="fixed"/>
        <w:tblLook w:firstColumn="1" w:firstRow="1" w:lastColumn="0" w:lastRow="0" w:noHBand="0" w:noVBand="1" w:val="04A0"/>
      </w:tblPr>
      <w:tblGrid>
        <w:gridCol w:w="4680"/>
        <w:gridCol w:w="4680"/>
      </w:tblGrid>
      <w:tr>
        <w:tc>
          <w:tcPr>
            <w:tcW w:type="dxa" w:w="3168"/>
          </w:tcPr>
          <w:p>
            <w:r>
              <w:rPr>
                <w:rFonts w:ascii="Georgia" w:hAnsi="Georgia"/>
                <w:b/>
                <w:sz w:val="24"/>
              </w:rPr>
              <w:t>Abbreviation</w:t>
            </w:r>
          </w:p>
        </w:tc>
        <w:tc>
          <w:tcPr>
            <w:tcW w:type="dxa" w:w="6192"/>
          </w:tcPr>
          <w:p>
            <w:r>
              <w:rPr>
                <w:rFonts w:ascii="Georgia" w:hAnsi="Georgia"/>
                <w:b/>
                <w:sz w:val="24"/>
              </w:rPr>
              <w:t>Meaning</w:t>
            </w:r>
          </w:p>
        </w:tc>
      </w:tr>
      <w:tr>
        <w:tc>
          <w:tcPr>
            <w:tcW w:type="dxa" w:w="3168"/>
          </w:tcPr>
          <w:p>
            <w:r>
              <w:rPr>
                <w:rFonts w:ascii="Arial" w:hAnsi="Arial"/>
                <w:sz w:val="22"/>
              </w:rPr>
              <w:t>TROGKC</w:t>
            </w:r>
          </w:p>
        </w:tc>
        <w:tc>
          <w:tcPr>
            <w:tcW w:type="dxa" w:w="6192"/>
          </w:tcPr>
          <w:p>
            <w:r>
              <w:rPr>
                <w:rFonts w:ascii="Arial" w:hAnsi="Arial"/>
                <w:sz w:val="22"/>
              </w:rPr>
              <w:t>Throne Room of God Kingdom Center</w:t>
            </w:r>
          </w:p>
        </w:tc>
      </w:tr>
      <w:tr>
        <w:tc>
          <w:tcPr>
            <w:tcW w:type="dxa" w:w="3168"/>
          </w:tcPr>
          <w:p>
            <w:r>
              <w:rPr>
                <w:rFonts w:ascii="Arial" w:hAnsi="Arial"/>
                <w:sz w:val="22"/>
              </w:rPr>
              <w:t>SOP</w:t>
            </w:r>
          </w:p>
        </w:tc>
        <w:tc>
          <w:tcPr>
            <w:tcW w:type="dxa" w:w="6192"/>
          </w:tcPr>
          <w:p>
            <w:r>
              <w:rPr>
                <w:rFonts w:ascii="Arial" w:hAnsi="Arial"/>
                <w:sz w:val="22"/>
              </w:rPr>
              <w:t>Standard Operating Procedure</w:t>
            </w:r>
          </w:p>
        </w:tc>
      </w:tr>
      <w:tr>
        <w:tc>
          <w:tcPr>
            <w:tcW w:type="dxa" w:w="3168"/>
          </w:tcPr>
          <w:p>
            <w:r>
              <w:rPr>
                <w:rFonts w:ascii="Arial" w:hAnsi="Arial"/>
                <w:sz w:val="22"/>
              </w:rPr>
              <w:t>KPI</w:t>
            </w:r>
          </w:p>
        </w:tc>
        <w:tc>
          <w:tcPr>
            <w:tcW w:type="dxa" w:w="6192"/>
          </w:tcPr>
          <w:p>
            <w:r>
              <w:rPr>
                <w:rFonts w:ascii="Arial" w:hAnsi="Arial"/>
                <w:sz w:val="22"/>
              </w:rPr>
              <w:t>Key Performance Indicator</w:t>
            </w:r>
          </w:p>
        </w:tc>
      </w:tr>
      <w:tr>
        <w:tc>
          <w:tcPr>
            <w:tcW w:type="dxa" w:w="3168"/>
          </w:tcPr>
          <w:p>
            <w:r>
              <w:rPr>
                <w:rFonts w:ascii="Arial" w:hAnsi="Arial"/>
                <w:sz w:val="22"/>
              </w:rPr>
              <w:t>HR</w:t>
            </w:r>
          </w:p>
        </w:tc>
        <w:tc>
          <w:tcPr>
            <w:tcW w:type="dxa" w:w="6192"/>
          </w:tcPr>
          <w:p>
            <w:r>
              <w:rPr>
                <w:rFonts w:ascii="Arial" w:hAnsi="Arial"/>
                <w:sz w:val="22"/>
              </w:rPr>
              <w:t>Human Resources</w:t>
            </w:r>
          </w:p>
        </w:tc>
      </w:tr>
      <w:tr>
        <w:tc>
          <w:tcPr>
            <w:tcW w:type="dxa" w:w="3168"/>
          </w:tcPr>
          <w:p>
            <w:r>
              <w:rPr>
                <w:rFonts w:ascii="Arial" w:hAnsi="Arial"/>
                <w:sz w:val="22"/>
              </w:rPr>
              <w:t>F&amp;A</w:t>
            </w:r>
          </w:p>
        </w:tc>
        <w:tc>
          <w:tcPr>
            <w:tcW w:type="dxa" w:w="6192"/>
          </w:tcPr>
          <w:p>
            <w:r>
              <w:rPr>
                <w:rFonts w:ascii="Arial" w:hAnsi="Arial"/>
                <w:sz w:val="22"/>
              </w:rPr>
              <w:t>Finance and Audit</w:t>
            </w:r>
          </w:p>
        </w:tc>
      </w:tr>
      <w:tr>
        <w:tc>
          <w:tcPr>
            <w:tcW w:type="dxa" w:w="3168"/>
          </w:tcPr>
          <w:p>
            <w:r>
              <w:rPr>
                <w:rFonts w:ascii="Arial" w:hAnsi="Arial"/>
                <w:sz w:val="22"/>
              </w:rPr>
              <w:t>SoM</w:t>
            </w:r>
          </w:p>
        </w:tc>
        <w:tc>
          <w:tcPr>
            <w:tcW w:type="dxa" w:w="6192"/>
          </w:tcPr>
          <w:p>
            <w:r>
              <w:rPr>
                <w:rFonts w:ascii="Arial" w:hAnsi="Arial"/>
                <w:sz w:val="22"/>
              </w:rPr>
              <w:t>School of Ministry</w:t>
            </w:r>
          </w:p>
        </w:tc>
      </w:tr>
    </w:tbl>
    <w:p>
      <w:pPr>
        <w:pStyle w:val="Heading1"/>
      </w:pPr>
      <w:r>
        <w:rPr>
          <w:rFonts w:ascii="Georgia" w:hAnsi="Georgia"/>
          <w:b w:val="0"/>
          <w:i w:val="0"/>
        </w:rPr>
        <w:t>Cross-References</w:t>
      </w:r>
    </w:p>
    <w:p>
      <w:r>
        <w:rPr>
          <w:rFonts w:ascii="Arial" w:hAnsi="Arial"/>
          <w:b w:val="0"/>
          <w:i w:val="0"/>
          <w:sz w:val="24"/>
        </w:rPr>
        <w:t>The KPI and Performance Management Manual forms part of a unified governance library of Throne Room of God Kingdom Center. It should be read together with the following companion volumes:</w:t>
      </w:r>
    </w:p>
    <w:p>
      <w:pPr>
        <w:pStyle w:val="ListBullet"/>
      </w:pPr>
      <w:r>
        <w:rPr>
          <w:rFonts w:ascii="Arial" w:hAnsi="Arial"/>
          <w:sz w:val="24"/>
        </w:rPr>
        <w:t>The Apostolic Constitution</w:t>
      </w:r>
    </w:p>
    <w:p>
      <w:pPr>
        <w:pStyle w:val="ListBullet"/>
      </w:pPr>
      <w:r>
        <w:rPr>
          <w:rFonts w:ascii="Arial" w:hAnsi="Arial"/>
          <w:sz w:val="24"/>
        </w:rPr>
        <w:t>The Governance Manual</w:t>
      </w:r>
    </w:p>
    <w:p>
      <w:pPr>
        <w:pStyle w:val="ListBullet"/>
      </w:pPr>
      <w:r>
        <w:rPr>
          <w:rFonts w:ascii="Arial" w:hAnsi="Arial"/>
          <w:sz w:val="24"/>
        </w:rPr>
        <w:t>The Ministry Operations Manual</w:t>
      </w:r>
    </w:p>
    <w:p>
      <w:pPr>
        <w:pStyle w:val="ListBullet"/>
      </w:pPr>
      <w:r>
        <w:rPr>
          <w:rFonts w:ascii="Arial" w:hAnsi="Arial"/>
          <w:sz w:val="24"/>
        </w:rPr>
        <w:t>The Kingdom Finance and Stewardship Manual</w:t>
      </w:r>
    </w:p>
    <w:p>
      <w:pPr>
        <w:pStyle w:val="Heading2"/>
      </w:pPr>
      <w:r>
        <w:rPr>
          <w:rFonts w:ascii="Georgia" w:hAnsi="Georgia"/>
          <w:b/>
        </w:rPr>
        <w:t>INTRODUCTION TO PERFORMANCE MANAGEMENT</w:t>
      </w:r>
    </w:p>
    <w:p>
      <w:pPr>
        <w:pStyle w:val="Heading3"/>
      </w:pPr>
      <w:r>
        <w:rPr>
          <w:rFonts w:ascii="Georgia" w:hAnsi="Georgia"/>
          <w:b/>
        </w:rPr>
        <w:t>1.1 Purpose</w:t>
      </w:r>
    </w:p>
    <w:p>
      <w:r>
        <w:rPr>
          <w:rFonts w:ascii="Arial" w:hAnsi="Arial"/>
          <w:sz w:val="24"/>
        </w:rPr>
        <w:t>The KPI &amp; Performance Management Manual establishes the framework for measuring, monitoring, evaluating, and continually improving the effectiveness of Throne Room of God Kingdom Center. It provides a structured system for assessing ministry performance, leadership effectiveness, operational excellence, stewardship, and Kingdom impact.</w:t>
      </w:r>
    </w:p>
    <w:p>
      <w:r>
        <w:rPr>
          <w:rFonts w:ascii="Arial" w:hAnsi="Arial"/>
          <w:sz w:val="24"/>
        </w:rPr>
        <w:t>This Manual supports the Constitution, Governance Manual, Ministry Operations Manual, and Finance &amp; Stewardship Manual by ensuring that every ministry and department operates with measurable accountability and continuous improvement.</w:t>
      </w:r>
    </w:p>
    <w:p>
      <w:pPr>
        <w:pStyle w:val="Heading3"/>
      </w:pPr>
      <w:r>
        <w:rPr>
          <w:rFonts w:ascii="Georgia" w:hAnsi="Georgia"/>
          <w:b/>
        </w:rPr>
        <w:t>1.2 Biblical Foundation</w:t>
      </w:r>
    </w:p>
    <w:p>
      <w:r>
        <w:rPr>
          <w:rFonts w:ascii="Arial" w:hAnsi="Arial"/>
          <w:sz w:val="24"/>
        </w:rPr>
        <w:t>The Church believes that excellence in ministry reflects faithful stewardship of God's calling and resources. Scripture teaches that every servant is accountable for the responsibilities entrusted to them.</w:t>
      </w:r>
    </w:p>
    <w:p>
      <w:r>
        <w:rPr>
          <w:rFonts w:ascii="Arial" w:hAnsi="Arial"/>
          <w:sz w:val="24"/>
        </w:rPr>
        <w:t>The Performance Management Framework is therefore founded upon the principles of:</w:t>
      </w:r>
    </w:p>
    <w:p>
      <w:pPr>
        <w:pStyle w:val="ListBullet"/>
      </w:pPr>
      <w:r>
        <w:rPr>
          <w:rFonts w:ascii="Arial" w:hAnsi="Arial"/>
          <w:sz w:val="24"/>
        </w:rPr>
        <w:t>Faithfulness.</w:t>
      </w:r>
    </w:p>
    <w:p>
      <w:pPr>
        <w:pStyle w:val="ListBullet"/>
      </w:pPr>
      <w:r>
        <w:rPr>
          <w:rFonts w:ascii="Arial" w:hAnsi="Arial"/>
          <w:sz w:val="24"/>
        </w:rPr>
        <w:t>Accountability.</w:t>
      </w:r>
    </w:p>
    <w:p>
      <w:pPr>
        <w:pStyle w:val="ListBullet"/>
      </w:pPr>
      <w:r>
        <w:rPr>
          <w:rFonts w:ascii="Arial" w:hAnsi="Arial"/>
          <w:sz w:val="24"/>
        </w:rPr>
        <w:t>Excellence.</w:t>
      </w:r>
    </w:p>
    <w:p>
      <w:pPr>
        <w:pStyle w:val="ListBullet"/>
      </w:pPr>
      <w:r>
        <w:rPr>
          <w:rFonts w:ascii="Arial" w:hAnsi="Arial"/>
          <w:sz w:val="24"/>
        </w:rPr>
        <w:t>Integrity.</w:t>
      </w:r>
    </w:p>
    <w:p>
      <w:pPr>
        <w:pStyle w:val="ListBullet"/>
      </w:pPr>
      <w:r>
        <w:rPr>
          <w:rFonts w:ascii="Arial" w:hAnsi="Arial"/>
          <w:sz w:val="24"/>
        </w:rPr>
        <w:t>Wisdom.</w:t>
      </w:r>
    </w:p>
    <w:p>
      <w:pPr>
        <w:pStyle w:val="ListBullet"/>
      </w:pPr>
      <w:r>
        <w:rPr>
          <w:rFonts w:ascii="Arial" w:hAnsi="Arial"/>
          <w:sz w:val="24"/>
        </w:rPr>
        <w:t>Stewardship.</w:t>
      </w:r>
    </w:p>
    <w:p>
      <w:pPr>
        <w:pStyle w:val="ListBullet"/>
      </w:pPr>
      <w:r>
        <w:rPr>
          <w:rFonts w:ascii="Arial" w:hAnsi="Arial"/>
          <w:sz w:val="24"/>
        </w:rPr>
        <w:t>Continuous improvement.</w:t>
      </w:r>
    </w:p>
    <w:p>
      <w:pPr>
        <w:pStyle w:val="ListBullet"/>
      </w:pPr>
      <w:r>
        <w:rPr>
          <w:rFonts w:ascii="Arial" w:hAnsi="Arial"/>
          <w:sz w:val="24"/>
        </w:rPr>
        <w:t>Kingdom effectiveness.</w:t>
      </w:r>
    </w:p>
    <w:p>
      <w:r>
        <w:rPr>
          <w:rFonts w:ascii="Arial" w:hAnsi="Arial"/>
          <w:sz w:val="24"/>
        </w:rPr>
        <w:t>"Whatever you do, work at it with all your heart, as working for the Lord." — Colossians 3:23</w:t>
      </w:r>
    </w:p>
    <w:p>
      <w:pPr>
        <w:pStyle w:val="Heading3"/>
      </w:pPr>
      <w:r>
        <w:rPr>
          <w:rFonts w:ascii="Georgia" w:hAnsi="Georgia"/>
          <w:b/>
        </w:rPr>
        <w:t>1.3 Objectives</w:t>
      </w:r>
    </w:p>
    <w:p>
      <w:r>
        <w:rPr>
          <w:rFonts w:ascii="Arial" w:hAnsi="Arial"/>
          <w:sz w:val="24"/>
        </w:rPr>
        <w:t>The objectives of this Manual are to:</w:t>
      </w:r>
    </w:p>
    <w:p>
      <w:pPr>
        <w:pStyle w:val="ListBullet"/>
      </w:pPr>
      <w:r>
        <w:rPr>
          <w:rFonts w:ascii="Arial" w:hAnsi="Arial"/>
          <w:sz w:val="24"/>
        </w:rPr>
        <w:t>Establish measurable ministry performance standards.</w:t>
      </w:r>
    </w:p>
    <w:p>
      <w:pPr>
        <w:pStyle w:val="ListBullet"/>
      </w:pPr>
      <w:r>
        <w:rPr>
          <w:rFonts w:ascii="Arial" w:hAnsi="Arial"/>
          <w:sz w:val="24"/>
        </w:rPr>
        <w:t>Promote accountability throughout the Church.</w:t>
      </w:r>
    </w:p>
    <w:p>
      <w:pPr>
        <w:pStyle w:val="ListBullet"/>
      </w:pPr>
      <w:r>
        <w:rPr>
          <w:rFonts w:ascii="Arial" w:hAnsi="Arial"/>
          <w:sz w:val="24"/>
        </w:rPr>
        <w:t>Support strategic decision-making.</w:t>
      </w:r>
    </w:p>
    <w:p>
      <w:pPr>
        <w:pStyle w:val="ListBullet"/>
      </w:pPr>
      <w:r>
        <w:rPr>
          <w:rFonts w:ascii="Arial" w:hAnsi="Arial"/>
          <w:sz w:val="24"/>
        </w:rPr>
        <w:t>Encourage leadership development.</w:t>
      </w:r>
    </w:p>
    <w:p>
      <w:pPr>
        <w:pStyle w:val="ListBullet"/>
      </w:pPr>
      <w:r>
        <w:rPr>
          <w:rFonts w:ascii="Arial" w:hAnsi="Arial"/>
          <w:sz w:val="24"/>
        </w:rPr>
        <w:t>Improve operational excellence.</w:t>
      </w:r>
    </w:p>
    <w:p>
      <w:pPr>
        <w:pStyle w:val="ListBullet"/>
      </w:pPr>
      <w:r>
        <w:rPr>
          <w:rFonts w:ascii="Arial" w:hAnsi="Arial"/>
          <w:sz w:val="24"/>
        </w:rPr>
        <w:t>Strengthen stewardship.</w:t>
      </w:r>
    </w:p>
    <w:p>
      <w:pPr>
        <w:pStyle w:val="ListBullet"/>
      </w:pPr>
      <w:r>
        <w:rPr>
          <w:rFonts w:ascii="Arial" w:hAnsi="Arial"/>
          <w:sz w:val="24"/>
        </w:rPr>
        <w:t>Monitor progress toward the Church's Mission and Vision.</w:t>
      </w:r>
    </w:p>
    <w:p>
      <w:pPr>
        <w:pStyle w:val="ListBullet"/>
      </w:pPr>
      <w:r>
        <w:rPr>
          <w:rFonts w:ascii="Arial" w:hAnsi="Arial"/>
          <w:sz w:val="24"/>
        </w:rPr>
        <w:t>Foster a culture of continuous improvement.</w:t>
      </w:r>
    </w:p>
    <w:p>
      <w:pPr>
        <w:pStyle w:val="Heading3"/>
      </w:pPr>
      <w:r>
        <w:rPr>
          <w:rFonts w:ascii="Georgia" w:hAnsi="Georgia"/>
          <w:b/>
        </w:rPr>
        <w:t>1.4 Scope</w:t>
      </w:r>
    </w:p>
    <w:p>
      <w:r>
        <w:rPr>
          <w:rFonts w:ascii="Arial" w:hAnsi="Arial"/>
          <w:sz w:val="24"/>
        </w:rPr>
        <w:t>This Manual applies to:</w:t>
      </w:r>
    </w:p>
    <w:p>
      <w:pPr>
        <w:pStyle w:val="ListBullet"/>
      </w:pPr>
      <w:r>
        <w:rPr>
          <w:rFonts w:ascii="Arial" w:hAnsi="Arial"/>
          <w:sz w:val="24"/>
        </w:rPr>
        <w:t>Senior Apostle.</w:t>
      </w:r>
    </w:p>
    <w:p>
      <w:pPr>
        <w:pStyle w:val="ListBullet"/>
      </w:pPr>
      <w:r>
        <w:rPr>
          <w:rFonts w:ascii="Arial" w:hAnsi="Arial"/>
          <w:sz w:val="24"/>
        </w:rPr>
        <w:t>Executive Leadership Team.</w:t>
      </w:r>
    </w:p>
    <w:p>
      <w:pPr>
        <w:pStyle w:val="ListBullet"/>
      </w:pPr>
      <w:r>
        <w:rPr>
          <w:rFonts w:ascii="Arial" w:hAnsi="Arial"/>
          <w:sz w:val="24"/>
        </w:rPr>
        <w:t>Ministry Directors.</w:t>
      </w:r>
    </w:p>
    <w:p>
      <w:pPr>
        <w:pStyle w:val="ListBullet"/>
      </w:pPr>
      <w:r>
        <w:rPr>
          <w:rFonts w:ascii="Arial" w:hAnsi="Arial"/>
          <w:sz w:val="24"/>
        </w:rPr>
        <w:t>Department Heads.</w:t>
      </w:r>
    </w:p>
    <w:p>
      <w:pPr>
        <w:pStyle w:val="ListBullet"/>
      </w:pPr>
      <w:r>
        <w:rPr>
          <w:rFonts w:ascii="Arial" w:hAnsi="Arial"/>
          <w:sz w:val="24"/>
        </w:rPr>
        <w:t>Ministry Coordinators.</w:t>
      </w:r>
    </w:p>
    <w:p>
      <w:pPr>
        <w:pStyle w:val="ListBullet"/>
      </w:pPr>
      <w:r>
        <w:rPr>
          <w:rFonts w:ascii="Arial" w:hAnsi="Arial"/>
          <w:sz w:val="24"/>
        </w:rPr>
        <w:t>Church Staff.</w:t>
      </w:r>
    </w:p>
    <w:p>
      <w:pPr>
        <w:pStyle w:val="ListBullet"/>
      </w:pPr>
      <w:r>
        <w:rPr>
          <w:rFonts w:ascii="Arial" w:hAnsi="Arial"/>
          <w:sz w:val="24"/>
        </w:rPr>
        <w:t>Ministry Volunteers where applicable.</w:t>
      </w:r>
    </w:p>
    <w:p>
      <w:pPr>
        <w:pStyle w:val="ListBullet"/>
      </w:pPr>
      <w:r>
        <w:rPr>
          <w:rFonts w:ascii="Arial" w:hAnsi="Arial"/>
          <w:sz w:val="24"/>
        </w:rPr>
        <w:t>All Church departments and ministries.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cs="Georgia" w:eastAsia="Georgia"/>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cs="Georgia" w:eastAsia="Georgia"/>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cs="Georgia" w:eastAsia="Georgia"/>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Georgia" w:hAnsi="Georgia" w:cs="Georgia" w:eastAsia="Georgia"/>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s="Georgia" w:eastAsia="Georgia"/>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Georgia" w:hAnsi="Georgia" w:cs="Georgia" w:eastAsia="Georgia"/>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sz w:val="24"/>
      <w:rFonts w:ascii="Arial" w:hAnsi="Arial" w:cs="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4"/>
      <w:rFonts w:ascii="Arial" w:hAnsi="Arial" w:cs="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4"/>
      <w:rFonts w:ascii="Arial" w:hAnsi="Arial" w:cs="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