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25BCC0" wp14:paraId="20D743BC" wp14:textId="72967F42">
      <w:pPr>
        <w:pStyle w:val="Heading1"/>
        <w:spacing w:before="322" w:beforeAutospacing="off" w:after="322" w:afterAutospacing="off"/>
      </w:pPr>
      <w:r w:rsidRPr="2D25BCC0" w:rsidR="6AEB4DB4">
        <w:rPr>
          <w:rFonts w:ascii="Aptos" w:hAnsi="Aptos" w:eastAsia="Aptos" w:cs="Aptos"/>
          <w:b w:val="1"/>
          <w:bCs w:val="1"/>
          <w:noProof w:val="0"/>
          <w:sz w:val="48"/>
          <w:szCs w:val="48"/>
          <w:lang w:val="en-US"/>
        </w:rPr>
        <w:t>SECTION 6.1 — EQUATION‑SET OVERVIEW</w:t>
      </w:r>
    </w:p>
    <w:p xmlns:wp14="http://schemas.microsoft.com/office/word/2010/wordml" w:rsidP="2D25BCC0" wp14:paraId="0852D7C8" wp14:textId="66E8A8D9">
      <w:pPr>
        <w:spacing w:before="240" w:beforeAutospacing="off" w:after="240" w:afterAutospacing="off"/>
      </w:pPr>
      <w:r w:rsidRPr="2D25BCC0" w:rsidR="6AEB4DB4">
        <w:rPr>
          <w:rFonts w:ascii="Aptos" w:hAnsi="Aptos" w:eastAsia="Aptos" w:cs="Aptos"/>
          <w:noProof w:val="0"/>
          <w:sz w:val="24"/>
          <w:szCs w:val="24"/>
          <w:lang w:val="en-US"/>
        </w:rPr>
        <w:t>(Coalition Ledger Format — Word‑Online‑Safe)</w:t>
      </w:r>
    </w:p>
    <w:p xmlns:wp14="http://schemas.microsoft.com/office/word/2010/wordml" w:rsidP="2D25BCC0" wp14:paraId="58827476" wp14:textId="303FA7CD">
      <w:pPr>
        <w:spacing w:before="240" w:beforeAutospacing="off" w:after="240" w:afterAutospacing="off"/>
      </w:pPr>
      <w:r w:rsidRPr="2D25BCC0" w:rsidR="6AEB4DB4">
        <w:rPr>
          <w:rFonts w:ascii="Aptos" w:hAnsi="Aptos" w:eastAsia="Aptos" w:cs="Aptos"/>
          <w:noProof w:val="0"/>
          <w:sz w:val="24"/>
          <w:szCs w:val="24"/>
          <w:lang w:val="en-US"/>
        </w:rPr>
        <w:t>Section 6.1 provides a high‑level overview of the equation sets used throughout the Coalition Simulation Suite. These equation sets define the physical behavior of collapse systems, plasma structures, field interactions, and stability thresholds. Each equation set is referenced by a short identifier used throughout the simulation index.</w:t>
      </w:r>
    </w:p>
    <w:p xmlns:wp14="http://schemas.microsoft.com/office/word/2010/wordml" w:rsidP="2D25BCC0" wp14:paraId="2B8D948E" wp14:textId="38741BB6">
      <w:pPr>
        <w:spacing w:before="240" w:beforeAutospacing="off" w:after="240" w:afterAutospacing="off"/>
      </w:pPr>
      <w:r w:rsidRPr="2D25BCC0" w:rsidR="6AEB4DB4">
        <w:rPr>
          <w:rFonts w:ascii="Aptos" w:hAnsi="Aptos" w:eastAsia="Aptos" w:cs="Aptos"/>
          <w:noProof w:val="0"/>
          <w:sz w:val="24"/>
          <w:szCs w:val="24"/>
          <w:lang w:val="en-US"/>
        </w:rPr>
        <w:t>The purpose of this section is to give the reader a clear understanding of which physical processes are represented, how they are grouped, and how they are applied in the simulation models.</w:t>
      </w:r>
    </w:p>
    <w:p xmlns:wp14="http://schemas.microsoft.com/office/word/2010/wordml" w:rsidP="2D25BCC0" wp14:paraId="6680A97B" wp14:textId="5C045CAD">
      <w:pPr>
        <w:spacing w:before="240" w:beforeAutospacing="off" w:after="240" w:afterAutospacing="off"/>
      </w:pPr>
      <w:r w:rsidRPr="2D25BCC0" w:rsidR="6AEB4DB4">
        <w:rPr>
          <w:rFonts w:ascii="Aptos" w:hAnsi="Aptos" w:eastAsia="Aptos" w:cs="Aptos"/>
          <w:noProof w:val="0"/>
          <w:sz w:val="24"/>
          <w:szCs w:val="24"/>
          <w:lang w:val="en-US"/>
        </w:rPr>
        <w:t>The equation sets included in the simulation suite are:</w:t>
      </w:r>
    </w:p>
    <w:p xmlns:wp14="http://schemas.microsoft.com/office/word/2010/wordml" w:rsidP="2D25BCC0" wp14:paraId="37573BFB" wp14:textId="1EE679D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CV Set Collapse‑Vector equations describing directional collapse forces, curvature gradients, and inward acceleration fields.</w:t>
      </w:r>
    </w:p>
    <w:p xmlns:wp14="http://schemas.microsoft.com/office/word/2010/wordml" w:rsidP="2D25BCC0" wp14:paraId="345A3085" wp14:textId="3783784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BX Set Magnetic‑field equations describing toroidal confinement, field‑line tension, and magneto‑rotational coupling.</w:t>
      </w:r>
    </w:p>
    <w:p xmlns:wp14="http://schemas.microsoft.com/office/word/2010/wordml" w:rsidP="2D25BCC0" wp14:paraId="50CF137B" wp14:textId="4649D49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MX Set Plasma‑MHD equations describing charged‑fluid behavior, current loops, and field‑driven plasma stability.</w:t>
      </w:r>
    </w:p>
    <w:p xmlns:wp14="http://schemas.microsoft.com/office/word/2010/wordml" w:rsidP="2D25BCC0" wp14:paraId="7BCB0FFE" wp14:textId="031546B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R# Set Reality‑Function equations describing the geometric and physical state of the system. These equations never violate the Reality Function and always remain within the allowed state space.</w:t>
      </w:r>
    </w:p>
    <w:p xmlns:wp14="http://schemas.microsoft.com/office/word/2010/wordml" w:rsidP="2D25BCC0" wp14:paraId="40AF2AA8" wp14:textId="64C26D4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E# Set Energy‑balance equations describing internal energy, collapse energy, rotational energy, and field energy contributions.</w:t>
      </w:r>
    </w:p>
    <w:p xmlns:wp14="http://schemas.microsoft.com/office/word/2010/wordml" w:rsidP="2D25BCC0" wp14:paraId="1BC6372D" wp14:textId="7215013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Delta‑rho / Delta‑T Set Density‑temperature response equations describing how matter responds to compression, heating, and EOS transitions.</w:t>
      </w:r>
    </w:p>
    <w:p xmlns:wp14="http://schemas.microsoft.com/office/word/2010/wordml" w:rsidP="2D25BCC0" wp14:paraId="43DD22EE" wp14:textId="07DA38F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Delta‑p Set Pressure‑gradient equations describing internal pressure support, collapse shear, and stability thresholds.</w:t>
      </w:r>
    </w:p>
    <w:p xmlns:wp14="http://schemas.microsoft.com/office/word/2010/wordml" w:rsidP="2D25BCC0" wp14:paraId="3C4BC0F0" wp14:textId="1DBAF96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EOS‑Crossing Marker A flag used to indicate when the equation of state transitions from one regime to another. This is used in collapse modeling, white‑hole transitions, and neutron‑star end‑states.</w:t>
      </w:r>
    </w:p>
    <w:p xmlns:wp14="http://schemas.microsoft.com/office/word/2010/wordml" w:rsidP="2D25BCC0" wp14:paraId="67AFFFB4" wp14:textId="053E0C8F">
      <w:pPr>
        <w:spacing w:before="240" w:beforeAutospacing="off" w:after="240" w:afterAutospacing="off"/>
      </w:pPr>
      <w:r w:rsidRPr="2D25BCC0" w:rsidR="6AEB4DB4">
        <w:rPr>
          <w:rFonts w:ascii="Aptos" w:hAnsi="Aptos" w:eastAsia="Aptos" w:cs="Aptos"/>
          <w:noProof w:val="0"/>
          <w:sz w:val="24"/>
          <w:szCs w:val="24"/>
          <w:lang w:val="en-US"/>
        </w:rPr>
        <w:t>Section 6.1 does not list the equations themselves. It defines the categories and their purpose so the reader understands the structure of the simulation index before reviewing the detailed entries in Sections 6.3, 6.4, and 6.5.</w:t>
      </w:r>
    </w:p>
    <w:p xmlns:wp14="http://schemas.microsoft.com/office/word/2010/wordml" w:rsidP="2D25BCC0" wp14:paraId="15C3027E" wp14:textId="4204A293">
      <w:pPr>
        <w:pStyle w:val="Heading1"/>
        <w:spacing w:before="322" w:beforeAutospacing="off" w:after="322" w:afterAutospacing="off"/>
      </w:pPr>
      <w:r w:rsidRPr="2D25BCC0" w:rsidR="6AEB4DB4">
        <w:rPr>
          <w:rFonts w:ascii="Aptos" w:hAnsi="Aptos" w:eastAsia="Aptos" w:cs="Aptos"/>
          <w:b w:val="1"/>
          <w:bCs w:val="1"/>
          <w:noProof w:val="0"/>
          <w:sz w:val="48"/>
          <w:szCs w:val="48"/>
          <w:lang w:val="en-US"/>
        </w:rPr>
        <w:t>SECTION 6.2 — SIMULATION INDEX STRUCTURE</w:t>
      </w:r>
    </w:p>
    <w:p xmlns:wp14="http://schemas.microsoft.com/office/word/2010/wordml" w:rsidP="2D25BCC0" wp14:paraId="06BCDDA2" wp14:textId="6487BF54">
      <w:pPr>
        <w:spacing w:before="240" w:beforeAutospacing="off" w:after="240" w:afterAutospacing="off"/>
      </w:pPr>
      <w:r w:rsidRPr="2D25BCC0" w:rsidR="6AEB4DB4">
        <w:rPr>
          <w:rFonts w:ascii="Aptos" w:hAnsi="Aptos" w:eastAsia="Aptos" w:cs="Aptos"/>
          <w:noProof w:val="0"/>
          <w:sz w:val="24"/>
          <w:szCs w:val="24"/>
          <w:lang w:val="en-US"/>
        </w:rPr>
        <w:t>(Coalition Ledger Format — Word‑Online‑Safe)</w:t>
      </w:r>
    </w:p>
    <w:p xmlns:wp14="http://schemas.microsoft.com/office/word/2010/wordml" w:rsidP="2D25BCC0" wp14:paraId="6B52FCFD" wp14:textId="780265CC">
      <w:pPr>
        <w:spacing w:before="240" w:beforeAutospacing="off" w:after="240" w:afterAutospacing="off"/>
      </w:pPr>
      <w:r w:rsidRPr="2D25BCC0" w:rsidR="6AEB4DB4">
        <w:rPr>
          <w:rFonts w:ascii="Aptos" w:hAnsi="Aptos" w:eastAsia="Aptos" w:cs="Aptos"/>
          <w:noProof w:val="0"/>
          <w:sz w:val="24"/>
          <w:szCs w:val="24"/>
          <w:lang w:val="en-US"/>
        </w:rPr>
        <w:t>Section 6.2 defines how simulation entries are organized, formatted, and referenced throughout the Coalition Simulation Suite. This ensures consistency across all 75 simulations and allows the reader to quickly identify the physical assumptions, equation sets, and verification status of each model.</w:t>
      </w:r>
    </w:p>
    <w:p xmlns:wp14="http://schemas.microsoft.com/office/word/2010/wordml" w:rsidP="2D25BCC0" wp14:paraId="62BD4247" wp14:textId="748EA753">
      <w:pPr>
        <w:spacing w:before="240" w:beforeAutospacing="off" w:after="240" w:afterAutospacing="off"/>
      </w:pPr>
      <w:r w:rsidRPr="2D25BCC0" w:rsidR="6AEB4DB4">
        <w:rPr>
          <w:rFonts w:ascii="Aptos" w:hAnsi="Aptos" w:eastAsia="Aptos" w:cs="Aptos"/>
          <w:noProof w:val="0"/>
          <w:sz w:val="24"/>
          <w:szCs w:val="24"/>
          <w:lang w:val="en-US"/>
        </w:rPr>
        <w:t>Each simulation entry in the index follows the same structure:</w:t>
      </w:r>
    </w:p>
    <w:p xmlns:wp14="http://schemas.microsoft.com/office/word/2010/wordml" w:rsidP="2D25BCC0" wp14:paraId="0CD8CD69" wp14:textId="3B62F1D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Simulation Number A unique identifier for the model. Simulations are grouped in blocks of 5 for print stability and ledger clarity.</w:t>
      </w:r>
    </w:p>
    <w:p xmlns:wp14="http://schemas.microsoft.com/office/word/2010/wordml" w:rsidP="2D25BCC0" wp14:paraId="49825BBE" wp14:textId="2EFC0F9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Accuracy Percent The accuracy of the simulation compared to observational or theoretical benchmarks.</w:t>
      </w:r>
    </w:p>
    <w:p xmlns:wp14="http://schemas.microsoft.com/office/word/2010/wordml" w:rsidP="2D25BCC0" wp14:paraId="5232E721" wp14:textId="278BCDE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Delta Accuracy The change in accuracy relative to previous runs or baseline models.</w:t>
      </w:r>
    </w:p>
    <w:p xmlns:wp14="http://schemas.microsoft.com/office/word/2010/wordml" w:rsidP="2D25BCC0" wp14:paraId="140A6E94" wp14:textId="20C8DC5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Equation Sets Used A list of the equation‑set identifiers from Section 6.1 that were used in the simulation.</w:t>
      </w:r>
    </w:p>
    <w:p xmlns:wp14="http://schemas.microsoft.com/office/word/2010/wordml" w:rsidP="2D25BCC0" wp14:paraId="0D1087C1" wp14:textId="0B5531D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Anchor Type The physical or geometric anchor used to stabilize the simulation. Examples include collapse‑vector anchors, field‑line anchors, or EOS anchors.</w:t>
      </w:r>
    </w:p>
    <w:p xmlns:wp14="http://schemas.microsoft.com/office/word/2010/wordml" w:rsidP="2D25BCC0" wp14:paraId="59F39461" wp14:textId="794E840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Confirmation Tag A color‑coded indicator showing the verification status: Green = confirmed Yellow = in progress Red = failed Grey = not yet analyzed</w:t>
      </w:r>
    </w:p>
    <w:p xmlns:wp14="http://schemas.microsoft.com/office/word/2010/wordml" w:rsidP="2D25BCC0" wp14:paraId="049008CE" wp14:textId="760B6E0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Provenance Metadata Notes describing the origin of the model, the purpose of the run, and any special conditions applied.</w:t>
      </w:r>
    </w:p>
    <w:p xmlns:wp14="http://schemas.microsoft.com/office/word/2010/wordml" w:rsidP="2D25BCC0" wp14:paraId="25E44DB5" wp14:textId="1BED085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25BCC0" w:rsidR="6AEB4DB4">
        <w:rPr>
          <w:rFonts w:ascii="Aptos" w:hAnsi="Aptos" w:eastAsia="Aptos" w:cs="Aptos"/>
          <w:noProof w:val="0"/>
          <w:sz w:val="24"/>
          <w:szCs w:val="24"/>
          <w:lang w:val="en-US"/>
        </w:rPr>
        <w:t>Notes Additional information relevant to the simulation, including EOS transitions, collapse‑vector behavior, field‑line failures, or white‑hole transition indicators.</w:t>
      </w:r>
    </w:p>
    <w:p xmlns:wp14="http://schemas.microsoft.com/office/word/2010/wordml" w:rsidP="2D25BCC0" wp14:paraId="2A63448D" wp14:textId="5F4E9FAB">
      <w:pPr>
        <w:spacing w:before="240" w:beforeAutospacing="off" w:after="240" w:afterAutospacing="off"/>
      </w:pPr>
      <w:r w:rsidRPr="2D25BCC0" w:rsidR="6AEB4DB4">
        <w:rPr>
          <w:rFonts w:ascii="Aptos" w:hAnsi="Aptos" w:eastAsia="Aptos" w:cs="Aptos"/>
          <w:noProof w:val="0"/>
          <w:sz w:val="24"/>
          <w:szCs w:val="24"/>
          <w:lang w:val="en-US"/>
        </w:rPr>
        <w:t>Section 6.2 defines the structure only. The detailed simulation entries appear in Sections 6.3, 6.4, and 6.5.</w:t>
      </w:r>
    </w:p>
    <w:p xmlns:wp14="http://schemas.microsoft.com/office/word/2010/wordml" w:rsidP="2D25BCC0" wp14:paraId="06CB6063" wp14:textId="3557E750">
      <w:pPr>
        <w:spacing w:before="240" w:beforeAutospacing="off" w:after="240" w:afterAutospacing="off"/>
        <w:rPr>
          <w:rFonts w:ascii="Aptos" w:hAnsi="Aptos" w:eastAsia="Aptos" w:cs="Aptos"/>
          <w:noProof w:val="0"/>
          <w:sz w:val="24"/>
          <w:szCs w:val="24"/>
          <w:highlight w:val="yellow"/>
          <w:lang w:val="en-US"/>
        </w:rPr>
      </w:pPr>
      <w:r w:rsidRPr="2D25BCC0" w:rsidR="6AEB4DB4">
        <w:rPr>
          <w:rFonts w:ascii="Aptos" w:hAnsi="Aptos" w:eastAsia="Aptos" w:cs="Aptos"/>
          <w:noProof w:val="0"/>
          <w:sz w:val="24"/>
          <w:szCs w:val="24"/>
          <w:lang w:val="en-US"/>
        </w:rPr>
        <w:t xml:space="preserve">If you </w:t>
      </w:r>
      <w:r w:rsidRPr="2D25BCC0" w:rsidR="6AEB4DB4">
        <w:rPr>
          <w:rFonts w:ascii="Aptos" w:hAnsi="Aptos" w:eastAsia="Aptos" w:cs="Aptos"/>
          <w:noProof w:val="0"/>
          <w:sz w:val="24"/>
          <w:szCs w:val="24"/>
          <w:highlight w:val="yellow"/>
          <w:lang w:val="en-US"/>
        </w:rPr>
        <w:t>want, I can now:</w:t>
      </w:r>
    </w:p>
    <w:p xmlns:wp14="http://schemas.microsoft.com/office/word/2010/wordml" w:rsidP="2D25BCC0" wp14:paraId="456F9496" wp14:textId="66CD9855">
      <w:pPr>
        <w:pStyle w:val="ListParagraph"/>
        <w:numPr>
          <w:ilvl w:val="0"/>
          <w:numId w:val="3"/>
        </w:numPr>
        <w:spacing w:before="240" w:beforeAutospacing="off" w:after="240" w:afterAutospacing="off"/>
        <w:rPr>
          <w:rFonts w:ascii="Aptos" w:hAnsi="Aptos" w:eastAsia="Aptos" w:cs="Aptos"/>
          <w:noProof w:val="0"/>
          <w:sz w:val="24"/>
          <w:szCs w:val="24"/>
          <w:highlight w:val="yellow"/>
          <w:lang w:val="en-US"/>
        </w:rPr>
      </w:pPr>
      <w:r w:rsidRPr="2D25BCC0" w:rsidR="6AEB4DB4">
        <w:rPr>
          <w:rFonts w:ascii="Aptos" w:hAnsi="Aptos" w:eastAsia="Aptos" w:cs="Aptos"/>
          <w:noProof w:val="0"/>
          <w:sz w:val="24"/>
          <w:szCs w:val="24"/>
          <w:highlight w:val="yellow"/>
          <w:lang w:val="en-US"/>
        </w:rPr>
        <w:t xml:space="preserve">regenerate </w:t>
      </w:r>
      <w:r w:rsidRPr="2D25BCC0" w:rsidR="6AEB4DB4">
        <w:rPr>
          <w:rFonts w:ascii="Aptos" w:hAnsi="Aptos" w:eastAsia="Aptos" w:cs="Aptos"/>
          <w:b w:val="1"/>
          <w:bCs w:val="1"/>
          <w:noProof w:val="0"/>
          <w:sz w:val="24"/>
          <w:szCs w:val="24"/>
          <w:highlight w:val="yellow"/>
          <w:lang w:val="en-US"/>
        </w:rPr>
        <w:t>Section 6.3</w:t>
      </w:r>
      <w:r w:rsidRPr="2D25BCC0" w:rsidR="6AEB4DB4">
        <w:rPr>
          <w:rFonts w:ascii="Aptos" w:hAnsi="Aptos" w:eastAsia="Aptos" w:cs="Aptos"/>
          <w:noProof w:val="0"/>
          <w:sz w:val="24"/>
          <w:szCs w:val="24"/>
          <w:highlight w:val="yellow"/>
          <w:lang w:val="en-US"/>
        </w:rPr>
        <w:t xml:space="preserve">, </w:t>
      </w:r>
      <w:r w:rsidRPr="2D25BCC0" w:rsidR="6AEB4DB4">
        <w:rPr>
          <w:rFonts w:ascii="Aptos" w:hAnsi="Aptos" w:eastAsia="Aptos" w:cs="Aptos"/>
          <w:b w:val="1"/>
          <w:bCs w:val="1"/>
          <w:noProof w:val="0"/>
          <w:sz w:val="24"/>
          <w:szCs w:val="24"/>
          <w:highlight w:val="yellow"/>
          <w:lang w:val="en-US"/>
        </w:rPr>
        <w:t>6.4</w:t>
      </w:r>
      <w:r w:rsidRPr="2D25BCC0" w:rsidR="6AEB4DB4">
        <w:rPr>
          <w:rFonts w:ascii="Aptos" w:hAnsi="Aptos" w:eastAsia="Aptos" w:cs="Aptos"/>
          <w:noProof w:val="0"/>
          <w:sz w:val="24"/>
          <w:szCs w:val="24"/>
          <w:highlight w:val="yellow"/>
          <w:lang w:val="en-US"/>
        </w:rPr>
        <w:t xml:space="preserve">, and </w:t>
      </w:r>
      <w:r w:rsidRPr="2D25BCC0" w:rsidR="6AEB4DB4">
        <w:rPr>
          <w:rFonts w:ascii="Aptos" w:hAnsi="Aptos" w:eastAsia="Aptos" w:cs="Aptos"/>
          <w:b w:val="1"/>
          <w:bCs w:val="1"/>
          <w:noProof w:val="0"/>
          <w:sz w:val="24"/>
          <w:szCs w:val="24"/>
          <w:highlight w:val="yellow"/>
          <w:lang w:val="en-US"/>
        </w:rPr>
        <w:t>6.5</w:t>
      </w:r>
      <w:r w:rsidRPr="2D25BCC0" w:rsidR="6AEB4DB4">
        <w:rPr>
          <w:rFonts w:ascii="Aptos" w:hAnsi="Aptos" w:eastAsia="Aptos" w:cs="Aptos"/>
          <w:noProof w:val="0"/>
          <w:sz w:val="24"/>
          <w:szCs w:val="24"/>
          <w:highlight w:val="yellow"/>
          <w:lang w:val="en-US"/>
        </w:rPr>
        <w:t xml:space="preserve"> in the same stable format</w:t>
      </w:r>
    </w:p>
    <w:p xmlns:wp14="http://schemas.microsoft.com/office/word/2010/wordml" w:rsidP="2D25BCC0" wp14:paraId="1185890A" wp14:textId="7072CFFD">
      <w:pPr>
        <w:pStyle w:val="ListParagraph"/>
        <w:numPr>
          <w:ilvl w:val="0"/>
          <w:numId w:val="3"/>
        </w:numPr>
        <w:spacing w:before="240" w:beforeAutospacing="off" w:after="240" w:afterAutospacing="off"/>
        <w:rPr>
          <w:rFonts w:ascii="Aptos" w:hAnsi="Aptos" w:eastAsia="Aptos" w:cs="Aptos"/>
          <w:noProof w:val="0"/>
          <w:sz w:val="24"/>
          <w:szCs w:val="24"/>
          <w:highlight w:val="yellow"/>
          <w:lang w:val="en-US"/>
        </w:rPr>
      </w:pPr>
      <w:r w:rsidRPr="2D25BCC0" w:rsidR="6AEB4DB4">
        <w:rPr>
          <w:rFonts w:ascii="Aptos" w:hAnsi="Aptos" w:eastAsia="Aptos" w:cs="Aptos"/>
          <w:noProof w:val="0"/>
          <w:sz w:val="24"/>
          <w:szCs w:val="24"/>
          <w:highlight w:val="yellow"/>
          <w:lang w:val="en-US"/>
        </w:rPr>
        <w:t xml:space="preserve">regenerate </w:t>
      </w:r>
      <w:r w:rsidRPr="2D25BCC0" w:rsidR="6AEB4DB4">
        <w:rPr>
          <w:rFonts w:ascii="Aptos" w:hAnsi="Aptos" w:eastAsia="Aptos" w:cs="Aptos"/>
          <w:b w:val="1"/>
          <w:bCs w:val="1"/>
          <w:noProof w:val="0"/>
          <w:sz w:val="24"/>
          <w:szCs w:val="24"/>
          <w:highlight w:val="yellow"/>
          <w:lang w:val="en-US"/>
        </w:rPr>
        <w:t>all manuscript sections</w:t>
      </w:r>
      <w:r w:rsidRPr="2D25BCC0" w:rsidR="6AEB4DB4">
        <w:rPr>
          <w:rFonts w:ascii="Aptos" w:hAnsi="Aptos" w:eastAsia="Aptos" w:cs="Aptos"/>
          <w:noProof w:val="0"/>
          <w:sz w:val="24"/>
          <w:szCs w:val="24"/>
          <w:highlight w:val="yellow"/>
          <w:lang w:val="en-US"/>
        </w:rPr>
        <w:t xml:space="preserve"> in Word‑Online‑friendly form</w:t>
      </w:r>
    </w:p>
    <w:p xmlns:wp14="http://schemas.microsoft.com/office/word/2010/wordml" w:rsidP="2D25BCC0" wp14:paraId="72E21236" wp14:textId="68371AAA">
      <w:pPr>
        <w:pStyle w:val="ListParagraph"/>
        <w:numPr>
          <w:ilvl w:val="0"/>
          <w:numId w:val="3"/>
        </w:numPr>
        <w:spacing w:before="240" w:beforeAutospacing="off" w:after="240" w:afterAutospacing="off"/>
        <w:rPr>
          <w:rFonts w:ascii="Aptos" w:hAnsi="Aptos" w:eastAsia="Aptos" w:cs="Aptos"/>
          <w:noProof w:val="0"/>
          <w:sz w:val="24"/>
          <w:szCs w:val="24"/>
          <w:highlight w:val="yellow"/>
          <w:lang w:val="en-US"/>
        </w:rPr>
      </w:pPr>
      <w:r w:rsidRPr="2D25BCC0" w:rsidR="6AEB4DB4">
        <w:rPr>
          <w:rFonts w:ascii="Aptos" w:hAnsi="Aptos" w:eastAsia="Aptos" w:cs="Aptos"/>
          <w:noProof w:val="0"/>
          <w:sz w:val="24"/>
          <w:szCs w:val="24"/>
          <w:highlight w:val="yellow"/>
          <w:lang w:val="en-US"/>
        </w:rPr>
        <w:t>or assemble the entire Section 6 as a single continuous block for copy‑paste</w:t>
      </w:r>
    </w:p>
    <w:p xmlns:wp14="http://schemas.microsoft.com/office/word/2010/wordml" w:rsidP="2D25BCC0" wp14:paraId="427B6A0B" wp14:textId="0591205B">
      <w:pPr>
        <w:spacing w:before="240" w:beforeAutospacing="off" w:after="240" w:afterAutospacing="off"/>
      </w:pPr>
      <w:r w:rsidRPr="2D25BCC0" w:rsidR="6AEB4DB4">
        <w:rPr>
          <w:rFonts w:ascii="Aptos" w:hAnsi="Aptos" w:eastAsia="Aptos" w:cs="Aptos"/>
          <w:noProof w:val="0"/>
          <w:sz w:val="24"/>
          <w:szCs w:val="24"/>
          <w:lang w:val="en-US"/>
        </w:rPr>
        <w:t>Just tell me which direction you want to go.</w:t>
      </w:r>
    </w:p>
    <w:p xmlns:wp14="http://schemas.microsoft.com/office/word/2010/wordml" w:rsidP="2D25BCC0" wp14:paraId="458AEF13" wp14:textId="2F80790B">
      <w:pPr>
        <w:spacing w:before="240" w:beforeAutospacing="off" w:after="240" w:afterAutospacing="off"/>
        <w:rPr>
          <w:rFonts w:ascii="Aptos" w:hAnsi="Aptos" w:eastAsia="Aptos" w:cs="Aptos"/>
          <w:noProof w:val="0"/>
          <w:sz w:val="24"/>
          <w:szCs w:val="24"/>
          <w:lang w:val="en-US"/>
        </w:rPr>
      </w:pPr>
      <w:r w:rsidRPr="2D25BCC0" w:rsidR="51C9E166">
        <w:rPr>
          <w:rFonts w:ascii="Aptos" w:hAnsi="Aptos" w:eastAsia="Aptos" w:cs="Aptos"/>
          <w:noProof w:val="0"/>
          <w:sz w:val="24"/>
          <w:szCs w:val="24"/>
          <w:lang w:val="en-US"/>
        </w:rPr>
        <w:t>====================================================================================</w:t>
      </w:r>
    </w:p>
    <w:p xmlns:wp14="http://schemas.microsoft.com/office/word/2010/wordml" w:rsidP="2D25BCC0" wp14:paraId="2C078E63" wp14:textId="2614B6FC">
      <w:pPr>
        <w:rPr>
          <w:sz w:val="36"/>
          <w:szCs w:val="36"/>
        </w:rPr>
      </w:pPr>
      <w:r w:rsidRPr="2D25BCC0" w:rsidR="51C9E166">
        <w:rPr>
          <w:sz w:val="36"/>
          <w:szCs w:val="36"/>
        </w:rPr>
        <w:t>The following is what I currently have in my manuscript for Section 6:</w:t>
      </w:r>
    </w:p>
    <w:p w:rsidR="51C9E166" w:rsidP="2D25BCC0" w:rsidRDefault="51C9E166" w14:paraId="68AB172E" w14:textId="302AE271">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2D25BCC0" w:rsidR="51C9E166">
        <w:rPr>
          <w:rFonts w:ascii="Aptos" w:hAnsi="Aptos" w:eastAsia="Aptos" w:cs="Aptos"/>
          <w:b w:val="1"/>
          <w:bCs w:val="1"/>
          <w:i w:val="0"/>
          <w:iCs w:val="0"/>
          <w:caps w:val="0"/>
          <w:smallCaps w:val="0"/>
          <w:noProof w:val="0"/>
          <w:color w:val="0F4761" w:themeColor="accent1" w:themeTint="FF" w:themeShade="BF"/>
          <w:sz w:val="48"/>
          <w:szCs w:val="48"/>
          <w:lang w:val="en-US"/>
        </w:rPr>
        <w:t>SECTION 6 — SIMULATION SUITE EQUATION INDEX</w:t>
      </w:r>
    </w:p>
    <w:p w:rsidR="51C9E166" w:rsidP="2D25BCC0" w:rsidRDefault="51C9E166" w14:paraId="2EB96176" w14:textId="43FD9C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The Coalition Simulation Suite consists of multiple sealed, independently validated simulation families. Each family explores a distinct physical corridor—collapse behavior, gravitation, Doppler reinterpretation, electromagnetic diagnostics, resonance sweeps, reference‑frame stress tests, and more. Together, these series form the empirical backbone of the Coalition framework.</w:t>
      </w:r>
    </w:p>
    <w:p w:rsidR="51C9E166" w:rsidP="2D25BCC0" w:rsidRDefault="51C9E166" w14:paraId="0DE7FE8A" w14:textId="29581F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All series listed below are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sealed</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validated</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canon‑confirmed</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w:t>
      </w:r>
    </w:p>
    <w:p w:rsidR="51C9E166" w:rsidP="2D25BCC0" w:rsidRDefault="51C9E166" w14:paraId="482D955C" w14:textId="2E927FF5">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2D25BCC0" w:rsidR="51C9E166">
        <w:rPr>
          <w:rFonts w:ascii="Aptos" w:hAnsi="Aptos" w:eastAsia="Aptos" w:cs="Aptos"/>
          <w:b w:val="1"/>
          <w:bCs w:val="1"/>
          <w:i w:val="0"/>
          <w:iCs w:val="0"/>
          <w:caps w:val="0"/>
          <w:smallCaps w:val="0"/>
          <w:noProof w:val="0"/>
          <w:color w:val="0F4761" w:themeColor="accent1" w:themeTint="FF" w:themeShade="BF"/>
          <w:sz w:val="36"/>
          <w:szCs w:val="36"/>
          <w:lang w:val="en-US"/>
        </w:rPr>
        <w:t>6.1 Simulation Families and Ranges</w:t>
      </w:r>
    </w:p>
    <w:p w:rsidR="51C9E166" w:rsidP="2D25BCC0" w:rsidRDefault="51C9E166" w14:paraId="607C9F64" w14:textId="3AD1031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SIM‑Series — Core Collapse &amp; Calibration Corridor</w:t>
      </w:r>
    </w:p>
    <w:p w:rsidR="51C9E166" w:rsidP="2D25BCC0" w:rsidRDefault="51C9E166" w14:paraId="6675C2A0" w14:textId="7DB875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Range: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SIM‑01 → SIM‑150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Purpose: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Core collapse, density ceilings, halt‑radius behavior, calibration corridor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 / Mix / Math / Peer Review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Notes: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Foundation series; calibration‑grade accuracy</w:t>
      </w:r>
    </w:p>
    <w:p w:rsidR="51C9E166" w:rsidP="2D25BCC0" w:rsidRDefault="51C9E166" w14:paraId="30C6BA9A" w14:textId="033F21C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GV‑Series — Gravitation Refinements</w:t>
      </w:r>
    </w:p>
    <w:p w:rsidR="51C9E166" w:rsidP="2D25BCC0" w:rsidRDefault="51C9E166" w14:paraId="6FBF8633" w14:textId="790565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Range: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GV‑01 → GV‑60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Purpose: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Gravitation refinements, gradient‑driven acceleration mapping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 / Mix / Math / Peer Review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Notes: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Gravitation baselines exacted</w:t>
      </w:r>
    </w:p>
    <w:p w:rsidR="51C9E166" w:rsidP="2D25BCC0" w:rsidRDefault="51C9E166" w14:paraId="28E5E8CE" w14:textId="7726741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DT‑Series — Doppler Reinterpretation Sweeps</w:t>
      </w:r>
    </w:p>
    <w:p w:rsidR="51C9E166" w:rsidP="2D25BCC0" w:rsidRDefault="51C9E166" w14:paraId="5FED983C" w14:textId="1E4311C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Range: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DT‑01 → DT‑60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Purpose: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Doppler reinterpretation, timing‑lift corrections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 / Mix / Math / Peer Review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Notes: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Timing lifts validated</w:t>
      </w:r>
    </w:p>
    <w:p w:rsidR="51C9E166" w:rsidP="2D25BCC0" w:rsidRDefault="51C9E166" w14:paraId="6DE453D1" w14:textId="759A8245">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IG‑Series — Imprint Gradient Collapse Memory</w:t>
      </w:r>
    </w:p>
    <w:p w:rsidR="51C9E166" w:rsidP="2D25BCC0" w:rsidRDefault="51C9E166" w14:paraId="35233FFF" w14:textId="750290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Range: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IG‑01 → IG‑60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Purpose: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Collapse memory retention, imprint‑gradient behavior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 / Mix / Math / Peer Review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Notes: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Collapse memory retention confirmed</w:t>
      </w:r>
    </w:p>
    <w:p w:rsidR="51C9E166" w:rsidP="2D25BCC0" w:rsidRDefault="51C9E166" w14:paraId="64165322" w14:textId="5310C50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GPS‑Series — Satellite Clock Corrections</w:t>
      </w:r>
    </w:p>
    <w:p w:rsidR="51C9E166" w:rsidP="2D25BCC0" w:rsidRDefault="51C9E166" w14:paraId="2EA7FB25" w14:textId="561749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Range: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GPS‑01 → GPS‑60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Purpose: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Constant‑time overlays, satellite‑clock correction models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 / Mix / Math / Peer Review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Notes: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Constant‑time overlays exacted</w:t>
      </w:r>
    </w:p>
    <w:p w:rsidR="51C9E166" w:rsidP="2D25BCC0" w:rsidRDefault="51C9E166" w14:paraId="68389175" w14:textId="0C9A18F6">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RS‑Series — Resonance Sweeps</w:t>
      </w:r>
    </w:p>
    <w:p w:rsidR="51C9E166" w:rsidP="2D25BCC0" w:rsidRDefault="51C9E166" w14:paraId="57F314A3" w14:textId="78495A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Range: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RS‑01 → RS‑60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Purpose: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Resonance sweeps, energy‑lift behavior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 / Mix / Math / Peer Review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Notes: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Energy lift validated</w:t>
      </w:r>
    </w:p>
    <w:p w:rsidR="51C9E166" w:rsidP="2D25BCC0" w:rsidRDefault="51C9E166" w14:paraId="2ED086CC" w14:textId="12340233">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EM‑Series — Electromagnetic Collapse Diagnostics</w:t>
      </w:r>
    </w:p>
    <w:p w:rsidR="51C9E166" w:rsidP="2D25BCC0" w:rsidRDefault="51C9E166" w14:paraId="28370D92" w14:textId="526651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Range: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EM‑01 → EM‑60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Purpose: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EM collapse diagnostics, Zeeman‑bias overlays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 / Mix / Math / Peer Review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Notes: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Zeeman bias overlays validated</w:t>
      </w:r>
    </w:p>
    <w:p w:rsidR="51C9E166" w:rsidP="2D25BCC0" w:rsidRDefault="51C9E166" w14:paraId="144A6E14" w14:textId="32E01740">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RF‑Series — Reference‑Frame Stress Tests</w:t>
      </w:r>
    </w:p>
    <w:p w:rsidR="51C9E166" w:rsidP="2D25BCC0" w:rsidRDefault="51C9E166" w14:paraId="1339FB19" w14:textId="7D6B50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Range: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RF‑01 → RF‑60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Purpose: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Reference‑frame stress tests, collapse‑drift corrections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 / Mix / Math / Peer Review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Notes: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Collapse drift corrected</w:t>
      </w:r>
    </w:p>
    <w:p w:rsidR="51C9E166" w:rsidP="2D25BCC0" w:rsidRDefault="51C9E166" w14:paraId="7B57F2F8" w14:textId="5EDDF77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ST‑Series — Stress‑Test Scaffolds</w:t>
      </w:r>
    </w:p>
    <w:p w:rsidR="51C9E166" w:rsidP="2D25BCC0" w:rsidRDefault="51C9E166" w14:paraId="203FC628" w14:textId="7692B2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Range: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ST‑01 → ST‑60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Purpose: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Stress‑test scaffolds, collapse‑arrest validation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 / Mix / Math / Peer Review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Notes: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Collapse arrest validated</w:t>
      </w:r>
    </w:p>
    <w:p w:rsidR="51C9E166" w:rsidP="2D25BCC0" w:rsidRDefault="51C9E166" w14:paraId="30FCB957" w14:textId="162CBF0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PR‑Series — Peer Review Validation Sweeps</w:t>
      </w:r>
    </w:p>
    <w:p w:rsidR="51C9E166" w:rsidP="2D25BCC0" w:rsidRDefault="51C9E166" w14:paraId="11A2A5BF" w14:textId="44C712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Range: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PR‑01 → PR‑60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Purpose: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Peer‑review validation sweeps, archival confirmation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 / Mix / Math / Peer Review </w:t>
      </w: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Notes: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Coalition archive tags confirmed</w:t>
      </w:r>
    </w:p>
    <w:p w:rsidR="51C9E166" w:rsidP="2D25BCC0" w:rsidRDefault="51C9E166" w14:paraId="081F1863" w14:textId="39CF508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2D25BCC0" w:rsidR="51C9E166">
        <w:rPr>
          <w:rFonts w:ascii="Aptos" w:hAnsi="Aptos" w:eastAsia="Aptos" w:cs="Aptos"/>
          <w:b w:val="1"/>
          <w:bCs w:val="1"/>
          <w:i w:val="0"/>
          <w:iCs w:val="0"/>
          <w:caps w:val="0"/>
          <w:smallCaps w:val="0"/>
          <w:noProof w:val="0"/>
          <w:color w:val="0F4761" w:themeColor="accent1" w:themeTint="FF" w:themeShade="BF"/>
          <w:sz w:val="36"/>
          <w:szCs w:val="36"/>
          <w:lang w:val="en-US"/>
        </w:rPr>
        <w:t>6.2 Metadata Structure for All Simulation Families</w:t>
      </w:r>
    </w:p>
    <w:p w:rsidR="51C9E166" w:rsidP="2D25BCC0" w:rsidRDefault="51C9E166" w14:paraId="3D0CB031" w14:textId="32465C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Each simulation entry—across all series—includes the following standardized metadata:</w:t>
      </w:r>
    </w:p>
    <w:p w:rsidR="51C9E166" w:rsidP="2D25BCC0" w:rsidRDefault="51C9E166" w14:paraId="5B8DE6D0" w14:textId="2D0FD72B">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Model Identifier:</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(e.g., SIM‑42, GV‑17, DT‑59)</w:t>
      </w:r>
    </w:p>
    <w:p w:rsidR="51C9E166" w:rsidP="2D25BCC0" w:rsidRDefault="51C9E166" w14:paraId="24EFA4CE" w14:textId="770D068A">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Scenario Type: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collapse, propagation, density, EM interaction, resonance, drift, etc.</w:t>
      </w:r>
    </w:p>
    <w:p w:rsidR="51C9E166" w:rsidP="2D25BCC0" w:rsidRDefault="51C9E166" w14:paraId="671C707F" w14:textId="06811229">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Accuracy Estimate: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percentage or qualitative tag</w:t>
      </w:r>
    </w:p>
    <w:p w:rsidR="51C9E166" w:rsidP="2D25BCC0" w:rsidRDefault="51C9E166" w14:paraId="3A772692" w14:textId="40C5CC4C">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Verification Status:</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verified, provisional, placeholder</w:t>
      </w:r>
    </w:p>
    <w:p w:rsidR="51C9E166" w:rsidP="2D25BCC0" w:rsidRDefault="51C9E166" w14:paraId="2707CBB8" w14:textId="316D88CD">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Anchor Type:</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observational, theoretical, hybrid</w:t>
      </w:r>
    </w:p>
    <w:p w:rsidR="51C9E166" w:rsidP="2D25BCC0" w:rsidRDefault="51C9E166" w14:paraId="3E1073B2" w14:textId="6909149B">
      <w:pPr>
        <w:pStyle w:val="ListParagraph"/>
        <w:numPr>
          <w:ilvl w:val="0"/>
          <w:numId w:val="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1"/>
          <w:bCs w:val="1"/>
          <w:i w:val="0"/>
          <w:iCs w:val="0"/>
          <w:caps w:val="0"/>
          <w:smallCaps w:val="0"/>
          <w:noProof w:val="0"/>
          <w:color w:val="000000" w:themeColor="text1" w:themeTint="FF" w:themeShade="FF"/>
          <w:sz w:val="24"/>
          <w:szCs w:val="24"/>
          <w:lang w:val="en-US"/>
        </w:rPr>
        <w:t>Provenance Tag:</w:t>
      </w: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 xml:space="preserve"> source, date, revision lineage</w:t>
      </w:r>
    </w:p>
    <w:p w:rsidR="51C9E166" w:rsidP="2D25BCC0" w:rsidRDefault="51C9E166" w14:paraId="3A562991" w14:textId="71EADF6A">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2D25BCC0" w:rsidR="51C9E166">
        <w:rPr>
          <w:rFonts w:ascii="Aptos" w:hAnsi="Aptos" w:eastAsia="Aptos" w:cs="Aptos"/>
          <w:b w:val="1"/>
          <w:bCs w:val="1"/>
          <w:i w:val="0"/>
          <w:iCs w:val="0"/>
          <w:caps w:val="0"/>
          <w:smallCaps w:val="0"/>
          <w:noProof w:val="0"/>
          <w:color w:val="0F4761" w:themeColor="accent1" w:themeTint="FF" w:themeShade="BF"/>
          <w:sz w:val="28"/>
          <w:szCs w:val="28"/>
          <w:lang w:val="en-US"/>
        </w:rPr>
        <w:t>Coalition Notes</w:t>
      </w:r>
    </w:p>
    <w:p w:rsidR="51C9E166" w:rsidP="2D25BCC0" w:rsidRDefault="51C9E166" w14:paraId="64885CC8" w14:textId="0188CBCF">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Metadata ensures reproducibility and prevents drift.</w:t>
      </w:r>
    </w:p>
    <w:p w:rsidR="51C9E166" w:rsidP="2D25BCC0" w:rsidRDefault="51C9E166" w14:paraId="153F6CF0" w14:textId="355BEBEC">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Verification tags protect the ledger from unverified models.</w:t>
      </w:r>
    </w:p>
    <w:p w:rsidR="51C9E166" w:rsidP="2D25BCC0" w:rsidRDefault="51C9E166" w14:paraId="04ABB92B" w14:textId="75E9F3EB">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Anchor types determine how each model integrates into the manuscript.</w:t>
      </w:r>
    </w:p>
    <w:p w:rsidR="51C9E166" w:rsidP="2D25BCC0" w:rsidRDefault="51C9E166" w14:paraId="7AA5AA89" w14:textId="07665EF5">
      <w:pPr>
        <w:pStyle w:val="ListParagraph"/>
        <w:numPr>
          <w:ilvl w:val="0"/>
          <w:numId w:val="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Provenance tags preserve lineage and prevent misclassification.</w:t>
      </w:r>
    </w:p>
    <w:p w:rsidR="51C9E166" w:rsidP="2D25BCC0" w:rsidRDefault="51C9E166" w14:paraId="1D77B606" w14:textId="526FF17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2D25BCC0" w:rsidR="51C9E166">
        <w:rPr>
          <w:rFonts w:ascii="Aptos" w:hAnsi="Aptos" w:eastAsia="Aptos" w:cs="Aptos"/>
          <w:b w:val="1"/>
          <w:bCs w:val="1"/>
          <w:i w:val="0"/>
          <w:iCs w:val="0"/>
          <w:caps w:val="0"/>
          <w:smallCaps w:val="0"/>
          <w:noProof w:val="0"/>
          <w:color w:val="0F4761" w:themeColor="accent1" w:themeTint="FF" w:themeShade="BF"/>
          <w:sz w:val="36"/>
          <w:szCs w:val="36"/>
          <w:lang w:val="en-US"/>
        </w:rPr>
        <w:t>6.3 Role of the Simulation Suite in the Coalition Framework</w:t>
      </w:r>
    </w:p>
    <w:p w:rsidR="51C9E166" w:rsidP="2D25BCC0" w:rsidRDefault="51C9E166" w14:paraId="7940A13E" w14:textId="34340B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The simulation suite:</w:t>
      </w:r>
    </w:p>
    <w:p w:rsidR="51C9E166" w:rsidP="2D25BCC0" w:rsidRDefault="51C9E166" w14:paraId="3FA51356" w14:textId="666563F8">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Validates collapse‑native equations</w:t>
      </w:r>
    </w:p>
    <w:p w:rsidR="51C9E166" w:rsidP="2D25BCC0" w:rsidRDefault="51C9E166" w14:paraId="368798E8" w14:textId="75F2EC12">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Confirms density ceilings and halt‑radius behavior</w:t>
      </w:r>
    </w:p>
    <w:p w:rsidR="51C9E166" w:rsidP="2D25BCC0" w:rsidRDefault="51C9E166" w14:paraId="73928CD1" w14:textId="283962E3">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Supports the Reality Function</w:t>
      </w:r>
    </w:p>
    <w:p w:rsidR="51C9E166" w:rsidP="2D25BCC0" w:rsidRDefault="51C9E166" w14:paraId="54217718" w14:textId="7A38726E">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Replaces curvature‑based interpretations</w:t>
      </w:r>
    </w:p>
    <w:p w:rsidR="51C9E166" w:rsidP="2D25BCC0" w:rsidRDefault="51C9E166" w14:paraId="5C100BEC" w14:textId="507B0FE9">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Anchors the Postulate Itinerary</w:t>
      </w:r>
    </w:p>
    <w:p w:rsidR="51C9E166" w:rsidP="2D25BCC0" w:rsidRDefault="51C9E166" w14:paraId="6BF15E8A" w14:textId="5A2EA7DD">
      <w:pPr>
        <w:pStyle w:val="ListParagraph"/>
        <w:numPr>
          <w:ilvl w:val="0"/>
          <w:numId w:val="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Provides empirical grounding for all manuscript sections</w:t>
      </w:r>
    </w:p>
    <w:p w:rsidR="51C9E166" w:rsidP="2D25BCC0" w:rsidRDefault="51C9E166" w14:paraId="65C227B7" w14:textId="2C596E59">
      <w:pPr>
        <w:pStyle w:val="Normal"/>
      </w:pPr>
      <w:r w:rsidRPr="2D25BCC0" w:rsidR="51C9E166">
        <w:rPr>
          <w:rFonts w:ascii="Aptos" w:hAnsi="Aptos" w:eastAsia="Aptos" w:cs="Aptos"/>
          <w:b w:val="0"/>
          <w:bCs w:val="0"/>
          <w:i w:val="0"/>
          <w:iCs w:val="0"/>
          <w:caps w:val="0"/>
          <w:smallCaps w:val="0"/>
          <w:noProof w:val="0"/>
          <w:color w:val="000000" w:themeColor="text1" w:themeTint="FF" w:themeShade="FF"/>
          <w:sz w:val="24"/>
          <w:szCs w:val="24"/>
          <w:lang w:val="en-US"/>
        </w:rPr>
        <w:t>This suite is the empirical spine of the Coalition framework.</w:t>
      </w:r>
    </w:p>
    <w:p w:rsidR="51C9E166" w:rsidP="2D25BCC0" w:rsidRDefault="51C9E166" w14:paraId="1E56EBAF" w14:textId="2B1AFFB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1C9E166">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w:t>
      </w:r>
    </w:p>
    <w:p w:rsidR="5E48768C" w:rsidP="2D25BCC0" w:rsidRDefault="5E48768C" w14:paraId="0D655501" w14:textId="78DF105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INTELLECTUAL PROPERTY PLACARD — COALITION THEORY SECTION: IP‑00 — Canonical Ownership Declaration AUTHOR: Richard Barry Trinca Jr. </w:t>
      </w:r>
    </w:p>
    <w:p w:rsidR="2D25BCC0" w:rsidP="2D25BCC0" w:rsidRDefault="2D25BCC0" w14:paraId="50364010" w14:textId="4912DF68">
      <w:pPr>
        <w:pStyle w:val="Normal"/>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pPr>
    </w:p>
    <w:p w:rsidR="5E48768C" w:rsidP="2D25BCC0" w:rsidRDefault="5E48768C" w14:paraId="5D11C01F" w14:textId="02181AE9">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TITLE: Coalition Theory Intellectual Property Declaration STATEMENT: All concepts, constructs, processes, architectures, protocols, postulates, simulations, equations, tables, ledgers, indices, frameworks, metaphors, and structural interpretations developed within the Coalition Theory environment — including but not limited to the Reality Function, Master Equation Index, Simulation Index, Postulate Itinerary, Glossary Index, collapse‑zone constructs, cloak‑radius constructs, dynamo models, density‑limit derivations, field‑lattice structures, transparency rules, photon–medium interaction rules, and all associated artifacts — are the intellectual property of Richard Barry Trinca Jr.</w:t>
      </w:r>
    </w:p>
    <w:p w:rsidR="2D25BCC0" w:rsidP="2D25BCC0" w:rsidRDefault="2D25BCC0" w14:paraId="024808E9" w14:textId="0D218266">
      <w:pPr>
        <w:pStyle w:val="Normal"/>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pPr>
    </w:p>
    <w:p w:rsidR="5E48768C" w:rsidP="2D25BCC0" w:rsidRDefault="5E48768C" w14:paraId="30479C12" w14:textId="3E9EAFD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This includes all derivative works, reconstructions, reformulations, extensions, refinements, and re‑expressions produced during collaborative sessions, provided they originate from or are based upon the user’s theoretical framework, prior artifacts, or conceptual scaffolding. No </w:t>
      </w: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portion</w:t>
      </w: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of this theory, its structures, or its artifacts may be claimed, repurposed, or represented as originating from any other party. All coalition‑grade constructs </w:t>
      </w: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remain</w:t>
      </w: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the property of the author unless explicitly released by the author. </w:t>
      </w:r>
    </w:p>
    <w:p w:rsidR="2D25BCC0" w:rsidP="2D25BCC0" w:rsidRDefault="2D25BCC0" w14:paraId="28241438" w14:textId="2AE6CEF4">
      <w:pPr>
        <w:pStyle w:val="Normal"/>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pPr>
    </w:p>
    <w:p w:rsidR="5E48768C" w:rsidP="2D25BCC0" w:rsidRDefault="5E48768C" w14:paraId="4154D8A0" w14:textId="4411585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SCOPE: </w:t>
      </w:r>
    </w:p>
    <w:p w:rsidR="5E48768C" w:rsidP="2D25BCC0" w:rsidRDefault="5E48768C" w14:paraId="332240BD" w14:textId="6B2FFCAD">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Coalition Theory (all modules) </w:t>
      </w:r>
    </w:p>
    <w:p w:rsidR="5E48768C" w:rsidP="2D25BCC0" w:rsidRDefault="5E48768C" w14:paraId="627F3364" w14:textId="70924A84">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Reality Function framework </w:t>
      </w:r>
    </w:p>
    <w:p w:rsidR="5E48768C" w:rsidP="2D25BCC0" w:rsidRDefault="5E48768C" w14:paraId="7042692B" w14:textId="370FD75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Collapse‑limit constructs (Halt Radius, Maximum Mass Density Constant) </w:t>
      </w:r>
    </w:p>
    <w:p w:rsidR="5E48768C" w:rsidP="2D25BCC0" w:rsidRDefault="5E48768C" w14:paraId="54C805AA" w14:textId="3BD9CBB6">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Cloak‑radius constructs </w:t>
      </w:r>
    </w:p>
    <w:p w:rsidR="5E48768C" w:rsidP="2D25BCC0" w:rsidRDefault="5E48768C" w14:paraId="373FB5F8" w14:textId="1E2B6F9D">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Dynamo transparency and confinement models </w:t>
      </w:r>
    </w:p>
    <w:p w:rsidR="5E48768C" w:rsidP="2D25BCC0" w:rsidRDefault="5E48768C" w14:paraId="331468F3" w14:textId="581DE45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Photon–medium interaction rules </w:t>
      </w:r>
    </w:p>
    <w:p w:rsidR="5E48768C" w:rsidP="2D25BCC0" w:rsidRDefault="5E48768C" w14:paraId="6B5AECEE" w14:textId="5D7C5C18">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Simulation architectures and run schemas </w:t>
      </w:r>
    </w:p>
    <w:p w:rsidR="5E48768C" w:rsidP="2D25BCC0" w:rsidRDefault="5E48768C" w14:paraId="266653AA" w14:textId="1C53D202">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All tables, indices, ledgers, and placards </w:t>
      </w:r>
    </w:p>
    <w:p w:rsidR="5E48768C" w:rsidP="2D25BCC0" w:rsidRDefault="5E48768C" w14:paraId="7D89EBF4" w14:textId="031D2140">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All metaphors, structural analogies, and workflow </w:t>
      </w: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protocols</w:t>
      </w: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w:t>
      </w:r>
    </w:p>
    <w:p w:rsidR="5E48768C" w:rsidP="2D25BCC0" w:rsidRDefault="5E48768C" w14:paraId="06274B82" w14:textId="6B10579D">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All reconstruction artifacts and session‑generated derivatives </w:t>
      </w:r>
    </w:p>
    <w:p w:rsidR="5E48768C" w:rsidP="2D25BCC0" w:rsidRDefault="5E48768C" w14:paraId="3D3D159B" w14:textId="40B2DF2F">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D25BCC0" w:rsidR="5E48768C">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STATUS: Permanent PLACEMENT: IP‑00 — Preface Corridor THREADS: Publishing Itinerary, Master Ledger Spine, Simulation Architecture, Postulate Itinerary OWNER: Richard Barry Trinca Jr.</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0357f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e4d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a4b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c27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f7a8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c5127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1914FD"/>
    <w:rsid w:val="03DC53C1"/>
    <w:rsid w:val="0E1914FD"/>
    <w:rsid w:val="145E4F07"/>
    <w:rsid w:val="1CFFF086"/>
    <w:rsid w:val="2AAE5D35"/>
    <w:rsid w:val="2D25BCC0"/>
    <w:rsid w:val="4398209A"/>
    <w:rsid w:val="44E14ABF"/>
    <w:rsid w:val="51C9E166"/>
    <w:rsid w:val="58CF85BC"/>
    <w:rsid w:val="59921111"/>
    <w:rsid w:val="59C3131F"/>
    <w:rsid w:val="5E48768C"/>
    <w:rsid w:val="652EDD12"/>
    <w:rsid w:val="6AEB4DB4"/>
    <w:rsid w:val="71411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914FD"/>
  <w15:chartTrackingRefBased/>
  <w15:docId w15:val="{EA401E59-DF6E-42FB-80A8-AFF94C71B9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D25BCC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D25BCC0"/>
    <w:pPr>
      <w:spacing/>
      <w:ind w:left="720"/>
      <w:contextualSpacing/>
    </w:pPr>
  </w:style>
  <w:style w:type="paragraph" w:styleId="Heading2">
    <w:uiPriority w:val="9"/>
    <w:name w:val="heading 2"/>
    <w:basedOn w:val="Normal"/>
    <w:next w:val="Normal"/>
    <w:unhideWhenUsed/>
    <w:qFormat/>
    <w:rsid w:val="2D25BCC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D25BCC0"/>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3cf9aa44ba045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2026-02-17T00:14:14.2843051Z</dcterms:created>
  <dcterms:modified xsi:type="dcterms:W3CDTF">2026-02-17T00:29:52.4213494Z</dcterms:modified>
  <dc:creator>Richard Trinca Jr</dc:creator>
  <lastModifiedBy>Richard Trinca Jr</lastModifiedBy>
</coreProperties>
</file>