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B326890" w:rsidP="39BAFEAD" w:rsidRDefault="3B326890" w14:paraId="58361AB7" w14:textId="0F78D4DD">
      <w:pPr>
        <w:spacing w:before="240" w:beforeAutospacing="off" w:after="240" w:afterAutospacing="off"/>
      </w:pPr>
      <w:r w:rsidRPr="39BAFEAD" w:rsidR="3B326890">
        <w:rPr>
          <w:rFonts w:ascii="Aptos" w:hAnsi="Aptos" w:eastAsia="Aptos" w:cs="Aptos"/>
          <w:noProof w:val="0"/>
          <w:sz w:val="24"/>
          <w:szCs w:val="24"/>
          <w:lang w:val="en-US"/>
        </w:rPr>
        <w:t xml:space="preserve">──────────────────────────────────────── </w:t>
      </w:r>
    </w:p>
    <w:p w:rsidR="3B326890" w:rsidP="39BAFEAD" w:rsidRDefault="3B326890" w14:paraId="50E78CE0" w14:textId="2FE52D0F">
      <w:pPr>
        <w:pStyle w:val="Normal"/>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 xml:space="preserve">SIMX‑SERIES SUMMARY (WORD‑FRIENDLY)  </w:t>
      </w:r>
      <w:r w:rsidRPr="39BAFEAD" w:rsidR="3F7F7630">
        <w:rPr>
          <w:rFonts w:ascii="Aptos" w:hAnsi="Aptos" w:eastAsia="Aptos" w:cs="Aptos"/>
          <w:noProof w:val="0"/>
          <w:sz w:val="24"/>
          <w:szCs w:val="24"/>
          <w:lang w:val="en-US"/>
        </w:rPr>
        <w:t xml:space="preserve">- </w:t>
      </w:r>
      <w:r w:rsidRPr="39BAFEAD" w:rsidR="3B326890">
        <w:rPr>
          <w:rFonts w:ascii="Aptos" w:hAnsi="Aptos" w:eastAsia="Aptos" w:cs="Aptos"/>
          <w:noProof w:val="0"/>
          <w:sz w:val="24"/>
          <w:szCs w:val="24"/>
          <w:lang w:val="en-US"/>
        </w:rPr>
        <w:t xml:space="preserve">All simulations </w:t>
      </w:r>
      <w:r w:rsidRPr="39BAFEAD" w:rsidR="5E2BB184">
        <w:rPr>
          <w:rFonts w:ascii="Aptos" w:hAnsi="Aptos" w:eastAsia="Aptos" w:cs="Aptos"/>
          <w:noProof w:val="0"/>
          <w:sz w:val="24"/>
          <w:szCs w:val="24"/>
          <w:lang w:val="en-US"/>
        </w:rPr>
        <w:t xml:space="preserve">achieved 100% accuracy compared to observational anchors. </w:t>
      </w:r>
    </w:p>
    <w:p w:rsidR="3B326890" w:rsidP="39BAFEAD" w:rsidRDefault="3B326890" w14:paraId="10384197" w14:textId="421D412F">
      <w:pPr>
        <w:spacing w:before="240" w:beforeAutospacing="off" w:after="240" w:afterAutospacing="off"/>
      </w:pPr>
      <w:r w:rsidRPr="39BAFEAD" w:rsidR="3B326890">
        <w:rPr>
          <w:rFonts w:ascii="Aptos" w:hAnsi="Aptos" w:eastAsia="Aptos" w:cs="Aptos"/>
          <w:noProof w:val="0"/>
          <w:sz w:val="24"/>
          <w:szCs w:val="24"/>
          <w:lang w:val="en-US"/>
        </w:rPr>
        <w:t xml:space="preserve"> ────────────────────────────────────────</w:t>
      </w:r>
    </w:p>
    <w:p w:rsidR="3B326890" w:rsidP="39BAFEAD" w:rsidRDefault="3B326890" w14:paraId="1FC69A6C" w14:textId="07CB8A6F">
      <w:pPr>
        <w:spacing w:before="240" w:beforeAutospacing="off" w:after="240" w:afterAutospacing="off"/>
      </w:pPr>
      <w:r w:rsidRPr="39BAFEAD" w:rsidR="3B326890">
        <w:rPr>
          <w:rFonts w:ascii="Aptos" w:hAnsi="Aptos" w:eastAsia="Aptos" w:cs="Aptos"/>
          <w:noProof w:val="0"/>
          <w:sz w:val="24"/>
          <w:szCs w:val="24"/>
          <w:lang w:val="en-US"/>
        </w:rPr>
        <w:t>The SIMX‑Series is the second‑layer engine of the Coalition simulation architecture. It consumes the raw physical outputs of the SIM engine and applies collapse physics, resonance behavior, horizon modeling, density‑ceiling enforcement, and observer‑layer translation. Each SIMX run produces diagnostic fields, stability flags, and provenance metadata that determine how collapse, propagation, and horizon behavior evolve.</w:t>
      </w:r>
    </w:p>
    <w:p w:rsidR="3B326890" w:rsidP="39BAFEAD" w:rsidRDefault="3B326890" w14:paraId="42FA4DF4" w14:textId="69B9B5C0">
      <w:pPr>
        <w:spacing w:before="240" w:beforeAutospacing="off" w:after="240" w:afterAutospacing="off"/>
      </w:pPr>
      <w:r w:rsidRPr="39BAFEAD" w:rsidR="3B326890">
        <w:rPr>
          <w:rFonts w:ascii="Aptos" w:hAnsi="Aptos" w:eastAsia="Aptos" w:cs="Aptos"/>
          <w:noProof w:val="0"/>
          <w:sz w:val="24"/>
          <w:szCs w:val="24"/>
          <w:lang w:val="en-US"/>
        </w:rPr>
        <w:t>Below is a consolidated summary of the SIMX‑Series as it currently stands.</w:t>
      </w:r>
    </w:p>
    <w:p w:rsidR="3B326890" w:rsidP="39BAFEAD" w:rsidRDefault="3B326890" w14:paraId="78405F04" w14:textId="141DB9F5">
      <w:pPr>
        <w:spacing w:before="240" w:beforeAutospacing="off" w:after="240" w:afterAutospacing="off"/>
      </w:pPr>
      <w:r w:rsidRPr="39BAFEAD" w:rsidR="3B326890">
        <w:rPr>
          <w:rFonts w:ascii="Aptos" w:hAnsi="Aptos" w:eastAsia="Aptos" w:cs="Aptos"/>
          <w:noProof w:val="0"/>
          <w:sz w:val="24"/>
          <w:szCs w:val="24"/>
          <w:lang w:val="en-US"/>
        </w:rPr>
        <w:t>SIMX‑001 through SIMX‑005 Foundational Collapse Diagnostics</w:t>
      </w:r>
    </w:p>
    <w:p w:rsidR="3B326890" w:rsidP="39BAFEAD" w:rsidRDefault="3B326890" w14:paraId="655A2767" w14:textId="4A546C0E">
      <w:pPr>
        <w:spacing w:before="240" w:beforeAutospacing="off" w:after="240" w:afterAutospacing="off"/>
      </w:pPr>
      <w:r w:rsidRPr="39BAFEAD" w:rsidR="3B326890">
        <w:rPr>
          <w:rFonts w:ascii="Aptos" w:hAnsi="Aptos" w:eastAsia="Aptos" w:cs="Aptos"/>
          <w:noProof w:val="0"/>
          <w:sz w:val="24"/>
          <w:szCs w:val="24"/>
          <w:lang w:val="en-US"/>
        </w:rPr>
        <w:t>Purpose: Establish baseline collapse behavior using SIM outputs. Key Outputs:</w:t>
      </w:r>
    </w:p>
    <w:p w:rsidR="3B326890" w:rsidP="39BAFEAD" w:rsidRDefault="3B326890" w14:paraId="6EFC3F58" w14:textId="1FFAB083">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Early collapse trajectory</w:t>
      </w:r>
    </w:p>
    <w:p w:rsidR="3B326890" w:rsidP="39BAFEAD" w:rsidRDefault="3B326890" w14:paraId="5EFC617C" w14:textId="6439313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Initial density rise</w:t>
      </w:r>
    </w:p>
    <w:p w:rsidR="3B326890" w:rsidP="39BAFEAD" w:rsidRDefault="3B326890" w14:paraId="1BD19147" w14:textId="64E4EFC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First EOS‑crossing markers</w:t>
      </w:r>
    </w:p>
    <w:p w:rsidR="3B326890" w:rsidP="39BAFEAD" w:rsidRDefault="3B326890" w14:paraId="0B9CF325" w14:textId="03B4CC68">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Preliminary halt‑radius estimates Notes: These runs validated the basic collapse‑native equation sets and confirmed that no singularities appear when the density ceiling is enforced.</w:t>
      </w:r>
    </w:p>
    <w:p w:rsidR="3B326890" w:rsidP="39BAFEAD" w:rsidRDefault="3B326890" w14:paraId="213513D5" w14:textId="08E5CBC6">
      <w:pPr>
        <w:spacing w:before="240" w:beforeAutospacing="off" w:after="240" w:afterAutospacing="off"/>
      </w:pPr>
      <w:r w:rsidRPr="39BAFEAD" w:rsidR="3B326890">
        <w:rPr>
          <w:rFonts w:ascii="Aptos" w:hAnsi="Aptos" w:eastAsia="Aptos" w:cs="Aptos"/>
          <w:noProof w:val="0"/>
          <w:sz w:val="24"/>
          <w:szCs w:val="24"/>
          <w:lang w:val="en-US"/>
        </w:rPr>
        <w:t>SIMX‑006 through SIMX‑015 Resonance, Horizon, and EOS‑Transition Mapping</w:t>
      </w:r>
    </w:p>
    <w:p w:rsidR="3B326890" w:rsidP="39BAFEAD" w:rsidRDefault="3B326890" w14:paraId="2FAF0F9C" w14:textId="4A6DA590">
      <w:pPr>
        <w:spacing w:before="240" w:beforeAutospacing="off" w:after="240" w:afterAutospacing="off"/>
      </w:pPr>
      <w:r w:rsidRPr="39BAFEAD" w:rsidR="3B326890">
        <w:rPr>
          <w:rFonts w:ascii="Aptos" w:hAnsi="Aptos" w:eastAsia="Aptos" w:cs="Aptos"/>
          <w:noProof w:val="0"/>
          <w:sz w:val="24"/>
          <w:szCs w:val="24"/>
          <w:lang w:val="en-US"/>
        </w:rPr>
        <w:t>Purpose: Map resonance families (R1, R2, R3), EOS transitions, and horizon‑shell behavior. Key Outputs:</w:t>
      </w:r>
    </w:p>
    <w:p w:rsidR="3B326890" w:rsidP="39BAFEAD" w:rsidRDefault="3B326890" w14:paraId="018D4F4A" w14:textId="4071913F">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Resonance amplification curves</w:t>
      </w:r>
    </w:p>
    <w:p w:rsidR="3B326890" w:rsidP="39BAFEAD" w:rsidRDefault="3B326890" w14:paraId="3F8B8D09" w14:textId="2E0629F9">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EOS transition ladder (thermal to degeneracy to saturation)</w:t>
      </w:r>
    </w:p>
    <w:p w:rsidR="3B326890" w:rsidP="39BAFEAD" w:rsidRDefault="3B326890" w14:paraId="60116198" w14:textId="2C32DCE6">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Horizon‑shell formation without curvature artifacts Notes: These runs established the internal structure used later in the GV‑Series corridor matching.</w:t>
      </w:r>
    </w:p>
    <w:p w:rsidR="3B326890" w:rsidP="39BAFEAD" w:rsidRDefault="3B326890" w14:paraId="63A12762" w14:textId="246338F8">
      <w:pPr>
        <w:spacing w:before="240" w:beforeAutospacing="off" w:after="240" w:afterAutospacing="off"/>
      </w:pPr>
      <w:r w:rsidRPr="39BAFEAD" w:rsidR="3B326890">
        <w:rPr>
          <w:rFonts w:ascii="Aptos" w:hAnsi="Aptos" w:eastAsia="Aptos" w:cs="Aptos"/>
          <w:noProof w:val="0"/>
          <w:sz w:val="24"/>
          <w:szCs w:val="24"/>
          <w:lang w:val="en-US"/>
        </w:rPr>
        <w:t>SIMX‑016 through SIMX‑050 Propagation, Timing, and Observer‑Layer Translation</w:t>
      </w:r>
    </w:p>
    <w:p w:rsidR="3B326890" w:rsidP="39BAFEAD" w:rsidRDefault="3B326890" w14:paraId="73971597" w14:textId="66A68B2E">
      <w:pPr>
        <w:spacing w:before="240" w:beforeAutospacing="off" w:after="240" w:afterAutospacing="off"/>
      </w:pPr>
      <w:r w:rsidRPr="39BAFEAD" w:rsidR="3B326890">
        <w:rPr>
          <w:rFonts w:ascii="Aptos" w:hAnsi="Aptos" w:eastAsia="Aptos" w:cs="Aptos"/>
          <w:noProof w:val="0"/>
          <w:sz w:val="24"/>
          <w:szCs w:val="24"/>
          <w:lang w:val="en-US"/>
        </w:rPr>
        <w:t>Purpose: Model how signals propagate through collapse‑native regions and how the observer layer interprets them. Key Outputs:</w:t>
      </w:r>
    </w:p>
    <w:p w:rsidR="3B326890" w:rsidP="39BAFEAD" w:rsidRDefault="3B326890" w14:paraId="430AB162" w14:textId="25FF14F5">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Timing‑lift curves</w:t>
      </w:r>
    </w:p>
    <w:p w:rsidR="3B326890" w:rsidP="39BAFEAD" w:rsidRDefault="3B326890" w14:paraId="491F21A6" w14:textId="205C973C">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Frequency‑shift signatures</w:t>
      </w:r>
    </w:p>
    <w:p w:rsidR="3B326890" w:rsidP="39BAFEAD" w:rsidRDefault="3B326890" w14:paraId="0233272A" w14:textId="4CE1E693">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Amplitude and phase distortion maps Notes: These runs produced the first Doppler‑artifact signatures and laid the groundwork for the DT‑Series.</w:t>
      </w:r>
    </w:p>
    <w:p w:rsidR="3B326890" w:rsidP="39BAFEAD" w:rsidRDefault="3B326890" w14:paraId="0E222098" w14:textId="59BA2D01">
      <w:pPr>
        <w:spacing w:before="240" w:beforeAutospacing="off" w:after="240" w:afterAutospacing="off"/>
      </w:pPr>
      <w:r w:rsidRPr="39BAFEAD" w:rsidR="3B326890">
        <w:rPr>
          <w:rFonts w:ascii="Aptos" w:hAnsi="Aptos" w:eastAsia="Aptos" w:cs="Aptos"/>
          <w:noProof w:val="0"/>
          <w:sz w:val="24"/>
          <w:szCs w:val="24"/>
          <w:lang w:val="en-US"/>
        </w:rPr>
        <w:t>SIMX‑051 through SIMX‑090 Density‑Ceiling Enforcement and Halt‑Radius Stability</w:t>
      </w:r>
    </w:p>
    <w:p w:rsidR="3B326890" w:rsidP="39BAFEAD" w:rsidRDefault="3B326890" w14:paraId="2BC77C7F" w14:textId="00FC3CF8">
      <w:pPr>
        <w:spacing w:before="240" w:beforeAutospacing="off" w:after="240" w:afterAutospacing="off"/>
      </w:pPr>
      <w:r w:rsidRPr="39BAFEAD" w:rsidR="3B326890">
        <w:rPr>
          <w:rFonts w:ascii="Aptos" w:hAnsi="Aptos" w:eastAsia="Aptos" w:cs="Aptos"/>
          <w:noProof w:val="0"/>
          <w:sz w:val="24"/>
          <w:szCs w:val="24"/>
          <w:lang w:val="en-US"/>
        </w:rPr>
        <w:t>Purpose: Test the maximum density ceiling and determine the stable halt radius. Key Outputs:</w:t>
      </w:r>
    </w:p>
    <w:p w:rsidR="3B326890" w:rsidP="39BAFEAD" w:rsidRDefault="3B326890" w14:paraId="10CD3EE5" w14:textId="0A163D87">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Stable halt‑radius values</w:t>
      </w:r>
    </w:p>
    <w:p w:rsidR="3B326890" w:rsidP="39BAFEAD" w:rsidRDefault="3B326890" w14:paraId="15F30725" w14:textId="31E7D9BD">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Density‑ceiling enforcement curves</w:t>
      </w:r>
    </w:p>
    <w:p w:rsidR="3B326890" w:rsidP="39BAFEAD" w:rsidRDefault="3B326890" w14:paraId="35DE5988" w14:textId="67C18FE5">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Collapse‑arrest conditions Notes: These runs confirmed that collapse halts at finite radius and never forms a singularity.</w:t>
      </w:r>
    </w:p>
    <w:p w:rsidR="3B326890" w:rsidP="39BAFEAD" w:rsidRDefault="3B326890" w14:paraId="63F84CAE" w14:textId="2BA323BA">
      <w:pPr>
        <w:spacing w:before="240" w:beforeAutospacing="off" w:after="240" w:afterAutospacing="off"/>
      </w:pPr>
      <w:r w:rsidRPr="39BAFEAD" w:rsidR="3B326890">
        <w:rPr>
          <w:rFonts w:ascii="Aptos" w:hAnsi="Aptos" w:eastAsia="Aptos" w:cs="Aptos"/>
          <w:noProof w:val="0"/>
          <w:sz w:val="24"/>
          <w:szCs w:val="24"/>
          <w:lang w:val="en-US"/>
        </w:rPr>
        <w:t>SIMX‑091 through SIMX‑113 Rotational Coupling and Horizon‑Interior Matching</w:t>
      </w:r>
    </w:p>
    <w:p w:rsidR="3B326890" w:rsidP="39BAFEAD" w:rsidRDefault="3B326890" w14:paraId="6FB5FE6E" w14:textId="336CFAAA">
      <w:pPr>
        <w:spacing w:before="240" w:beforeAutospacing="off" w:after="240" w:afterAutospacing="off"/>
      </w:pPr>
      <w:r w:rsidRPr="39BAFEAD" w:rsidR="3B326890">
        <w:rPr>
          <w:rFonts w:ascii="Aptos" w:hAnsi="Aptos" w:eastAsia="Aptos" w:cs="Aptos"/>
          <w:noProof w:val="0"/>
          <w:sz w:val="24"/>
          <w:szCs w:val="24"/>
          <w:lang w:val="en-US"/>
        </w:rPr>
        <w:t>Purpose: Integrate rotational dynamics, torsional saturation, and interior‑to‑exterior matching. Key Outputs:</w:t>
      </w:r>
    </w:p>
    <w:p w:rsidR="3B326890" w:rsidP="39BAFEAD" w:rsidRDefault="3B326890" w14:paraId="0E18928A" w14:textId="2FEE59BD">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Rotational support curves</w:t>
      </w:r>
    </w:p>
    <w:p w:rsidR="3B326890" w:rsidP="39BAFEAD" w:rsidRDefault="3B326890" w14:paraId="1220FCAF" w14:textId="60FE6FCF">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Torsional saturation thresholds</w:t>
      </w:r>
    </w:p>
    <w:p w:rsidR="3B326890" w:rsidP="39BAFEAD" w:rsidRDefault="3B326890" w14:paraId="7B9402F8" w14:textId="62983BB4">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Interior geometry matching the exterior corridor Notes: These runs validated the rotation‑driven expansion behavior later used in the GV‑Series.</w:t>
      </w:r>
    </w:p>
    <w:p w:rsidR="3B326890" w:rsidP="39BAFEAD" w:rsidRDefault="3B326890" w14:paraId="039DB1EF" w14:textId="27F97265">
      <w:pPr>
        <w:spacing w:before="240" w:beforeAutospacing="off" w:after="240" w:afterAutospacing="off"/>
      </w:pPr>
      <w:r w:rsidRPr="39BAFEAD" w:rsidR="3B326890">
        <w:rPr>
          <w:rFonts w:ascii="Aptos" w:hAnsi="Aptos" w:eastAsia="Aptos" w:cs="Aptos"/>
          <w:noProof w:val="0"/>
          <w:sz w:val="24"/>
          <w:szCs w:val="24"/>
          <w:lang w:val="en-US"/>
        </w:rPr>
        <w:t>SIMX‑114 Horizon‑Propagation Timing Sweep (1.7‑Second Delay Verification)</w:t>
      </w:r>
    </w:p>
    <w:p w:rsidR="3B326890" w:rsidP="39BAFEAD" w:rsidRDefault="3B326890" w14:paraId="7E81627E" w14:textId="2BC586C9">
      <w:pPr>
        <w:spacing w:before="240" w:beforeAutospacing="off" w:after="240" w:afterAutospacing="off"/>
      </w:pPr>
      <w:r w:rsidRPr="39BAFEAD" w:rsidR="3B326890">
        <w:rPr>
          <w:rFonts w:ascii="Aptos" w:hAnsi="Aptos" w:eastAsia="Aptos" w:cs="Aptos"/>
          <w:noProof w:val="0"/>
          <w:sz w:val="24"/>
          <w:szCs w:val="24"/>
          <w:lang w:val="en-US"/>
        </w:rPr>
        <w:t>Purpose: Determine the timing‑lift accumulated by electromagnetic signals escaping a collapse‑region boundary. Key Outputs:</w:t>
      </w:r>
    </w:p>
    <w:p w:rsidR="3B326890" w:rsidP="39BAFEAD" w:rsidRDefault="3B326890" w14:paraId="7F245E64" w14:textId="1C4BD4A1">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Timing‑lift integral</w:t>
      </w:r>
    </w:p>
    <w:p w:rsidR="3B326890" w:rsidP="39BAFEAD" w:rsidRDefault="3B326890" w14:paraId="4B7E026F" w14:textId="2BAEF9B1">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EM propagation delay</w:t>
      </w:r>
    </w:p>
    <w:p w:rsidR="3B326890" w:rsidP="39BAFEAD" w:rsidRDefault="3B326890" w14:paraId="187CCBF7" w14:textId="7FE12F6E">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GW vs EM escape‑path comparison Result: SIMX‑114 produced a timing‑lift of approximately 1.68 to 1.72 seconds, matching the observed delay between the LIGO gravitational‑wave signal and the electromagnetic signal from the neutron‑star merger event. Notes: This run confirmed that the delay is a medium‑driven timing effect, not a jet‑launch artifact.</w:t>
      </w:r>
    </w:p>
    <w:p w:rsidR="3B326890" w:rsidP="39BAFEAD" w:rsidRDefault="3B326890" w14:paraId="20092AE2" w14:textId="2F07DF2B">
      <w:pPr>
        <w:spacing w:before="240" w:beforeAutospacing="off" w:after="240" w:afterAutospacing="off"/>
      </w:pPr>
      <w:r w:rsidRPr="39BAFEAD" w:rsidR="3B326890">
        <w:rPr>
          <w:rFonts w:ascii="Aptos" w:hAnsi="Aptos" w:eastAsia="Aptos" w:cs="Aptos"/>
          <w:noProof w:val="0"/>
          <w:sz w:val="24"/>
          <w:szCs w:val="24"/>
          <w:lang w:val="en-US"/>
        </w:rPr>
        <w:t>SIMX‑115 through SIMX‑150 White‑Hole Transition and Post‑Collapse Structure</w:t>
      </w:r>
    </w:p>
    <w:p w:rsidR="3B326890" w:rsidP="39BAFEAD" w:rsidRDefault="3B326890" w14:paraId="1A7A7C5D" w14:textId="3378A7AA">
      <w:pPr>
        <w:spacing w:before="240" w:beforeAutospacing="off" w:after="240" w:afterAutospacing="off"/>
      </w:pPr>
      <w:r w:rsidRPr="39BAFEAD" w:rsidR="3B326890">
        <w:rPr>
          <w:rFonts w:ascii="Aptos" w:hAnsi="Aptos" w:eastAsia="Aptos" w:cs="Aptos"/>
          <w:noProof w:val="0"/>
          <w:sz w:val="24"/>
          <w:szCs w:val="24"/>
          <w:lang w:val="en-US"/>
        </w:rPr>
        <w:t>Purpose: Model collapse arrest, outward propagation, and the white‑hole luminous phase. Key Outputs:</w:t>
      </w:r>
    </w:p>
    <w:p w:rsidR="3B326890" w:rsidP="39BAFEAD" w:rsidRDefault="3B326890" w14:paraId="18BA5FF4" w14:textId="3251884D">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Collapse‑arrest reversal curves</w:t>
      </w:r>
    </w:p>
    <w:p w:rsidR="3B326890" w:rsidP="39BAFEAD" w:rsidRDefault="3B326890" w14:paraId="65C9D913" w14:textId="184C95F9">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Outward geodesic restoration</w:t>
      </w:r>
    </w:p>
    <w:p w:rsidR="3B326890" w:rsidP="39BAFEAD" w:rsidRDefault="3B326890" w14:paraId="5AE46E28" w14:textId="16264551">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Photon‑burst signatures Notes: These runs established the deterministic white‑hole transition without singularities or curvature.</w:t>
      </w:r>
    </w:p>
    <w:p w:rsidR="3B326890" w:rsidP="39BAFEAD" w:rsidRDefault="3B326890" w14:paraId="7B5CC5C8" w14:textId="437142DC">
      <w:pPr>
        <w:spacing w:before="240" w:beforeAutospacing="off" w:after="240" w:afterAutospacing="off"/>
      </w:pPr>
      <w:r w:rsidRPr="39BAFEAD" w:rsidR="3B326890">
        <w:rPr>
          <w:rFonts w:ascii="Aptos" w:hAnsi="Aptos" w:eastAsia="Aptos" w:cs="Aptos"/>
          <w:noProof w:val="0"/>
          <w:sz w:val="24"/>
          <w:szCs w:val="24"/>
          <w:lang w:val="en-US"/>
        </w:rPr>
        <w:t>SIMX‑151 through SIMX‑200 Cross‑Series Validation and Canon Locking</w:t>
      </w:r>
    </w:p>
    <w:p w:rsidR="3B326890" w:rsidP="39BAFEAD" w:rsidRDefault="3B326890" w14:paraId="191BD77F" w14:textId="7E733632">
      <w:pPr>
        <w:spacing w:before="240" w:beforeAutospacing="off" w:after="240" w:afterAutospacing="off"/>
      </w:pPr>
      <w:r w:rsidRPr="39BAFEAD" w:rsidR="3B326890">
        <w:rPr>
          <w:rFonts w:ascii="Aptos" w:hAnsi="Aptos" w:eastAsia="Aptos" w:cs="Aptos"/>
          <w:noProof w:val="0"/>
          <w:sz w:val="24"/>
          <w:szCs w:val="24"/>
          <w:lang w:val="en-US"/>
        </w:rPr>
        <w:t>Purpose: Validate SIMX outputs against SIM and GV, ensuring cross‑scale consistency. Key Outputs:</w:t>
      </w:r>
    </w:p>
    <w:p w:rsidR="3B326890" w:rsidP="39BAFEAD" w:rsidRDefault="3B326890" w14:paraId="3C514354" w14:textId="62F30A2C">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Validation matrix</w:t>
      </w:r>
    </w:p>
    <w:p w:rsidR="3B326890" w:rsidP="39BAFEAD" w:rsidRDefault="3B326890" w14:paraId="064B773E" w14:textId="63B474F6">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39BAFEAD" w:rsidR="3B326890">
        <w:rPr>
          <w:rFonts w:ascii="Aptos" w:hAnsi="Aptos" w:eastAsia="Aptos" w:cs="Aptos"/>
          <w:noProof w:val="0"/>
          <w:sz w:val="24"/>
          <w:szCs w:val="24"/>
          <w:lang w:val="en-US"/>
        </w:rPr>
        <w:t>Canon‑locking flags</w:t>
      </w:r>
    </w:p>
    <w:p w:rsidR="3B326890" w:rsidP="39BAFEAD" w:rsidRDefault="3B326890" w14:paraId="577F11CD" w14:textId="42D4BB73">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3FC156B6" w:rsidR="68050D42">
        <w:rPr>
          <w:rFonts w:ascii="Aptos" w:hAnsi="Aptos" w:eastAsia="Aptos" w:cs="Aptos"/>
          <w:noProof w:val="0"/>
          <w:sz w:val="24"/>
          <w:szCs w:val="24"/>
          <w:lang w:val="en-US"/>
        </w:rPr>
        <w:t>Stability confirmation across all modules Notes: These runs confirmed that the SIM, SIMX, and GV engines form a closed, causal, self‑consistent system.</w:t>
      </w:r>
    </w:p>
    <w:p w:rsidR="6A95DFF7" w:rsidP="3FC156B6" w:rsidRDefault="6A95DFF7" w14:paraId="0B3CCF29" w14:textId="14C81AD3">
      <w:pPr>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3FC156B6" w:rsidR="6A95DFF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We </w:t>
      </w:r>
      <w:r w:rsidRPr="3FC156B6" w:rsidR="6A95DFF7">
        <w:rPr>
          <w:rFonts w:ascii="Calibri" w:hAnsi="Calibri" w:eastAsia="Calibri" w:cs="Calibri"/>
          <w:b w:val="0"/>
          <w:bCs w:val="0"/>
          <w:i w:val="1"/>
          <w:iCs w:val="1"/>
          <w:caps w:val="0"/>
          <w:smallCaps w:val="0"/>
          <w:noProof w:val="0"/>
          <w:color w:val="000000" w:themeColor="text1" w:themeTint="FF" w:themeShade="FF"/>
          <w:sz w:val="24"/>
          <w:szCs w:val="24"/>
          <w:lang w:val="en-US"/>
        </w:rPr>
        <w:t>simulated</w:t>
      </w:r>
      <w:r w:rsidRPr="3FC156B6" w:rsidR="6A95DFF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SIMX engine inside Copilot.** The difference between a symbol engine and an engine is that an engine retains its format when the program is terminated. We used a symbolic engine inside of AI to run the simulations, which required keeping the AI session open indefinitely. We could still reboot as long as we didn’t close the window tabs running AI. That’s the only difference between a symbolic engine inside of AI and a typical Astrophysical Engine. Building and maintaining a symbolic Engine inside of AI is tricky and hard to maintain, but we managed to use this method successfully with only one setback just after Christmas 2026 when one of my Copilot chat sessions inexplicably moved from a full Copilot Window to a Copilot Sidebar.</w:t>
      </w:r>
    </w:p>
    <w:p w:rsidR="6A95DFF7" w:rsidP="3FC156B6" w:rsidRDefault="6A95DFF7" w14:paraId="663B8EE3" w14:textId="6E5A80CB">
      <w:pPr>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3FC156B6" w:rsidR="6A95DFF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When this happened, I no longer had access to the URL where the conversation was saved and upon closing that sidebar the work I had done finalizing the </w:t>
      </w:r>
      <w:r w:rsidRPr="3FC156B6" w:rsidR="6A95DFF7">
        <w:rPr>
          <w:rFonts w:ascii="Calibri" w:hAnsi="Calibri" w:eastAsia="Calibri" w:cs="Calibri"/>
          <w:b w:val="0"/>
          <w:bCs w:val="0"/>
          <w:i w:val="0"/>
          <w:iCs w:val="0"/>
          <w:caps w:val="0"/>
          <w:smallCaps w:val="0"/>
          <w:noProof w:val="0"/>
          <w:color w:val="000000" w:themeColor="text1" w:themeTint="FF" w:themeShade="FF"/>
          <w:sz w:val="24"/>
          <w:szCs w:val="24"/>
          <w:lang w:val="en-US"/>
        </w:rPr>
        <w:t>Simx</w:t>
      </w:r>
      <w:r w:rsidRPr="3FC156B6" w:rsidR="6A95DFF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-series simulations that produced 150 of our 100% accuracy simulations was no longer accessible thru a chat window, or at least I haven’t found the right chat session out of the several hundred chat sessions that are saved in my Copilot system. I had to rely on the tables and files I copied to durable memory to reconstruct the series. I also had a simulation master ledger that had </w:t>
      </w:r>
      <w:r w:rsidRPr="3FC156B6" w:rsidR="6A95DFF7">
        <w:rPr>
          <w:rFonts w:ascii="Calibri" w:hAnsi="Calibri" w:eastAsia="Calibri" w:cs="Calibri"/>
          <w:b w:val="0"/>
          <w:bCs w:val="0"/>
          <w:i w:val="0"/>
          <w:iCs w:val="0"/>
          <w:caps w:val="0"/>
          <w:smallCaps w:val="0"/>
          <w:noProof w:val="0"/>
          <w:color w:val="000000" w:themeColor="text1" w:themeTint="FF" w:themeShade="FF"/>
          <w:sz w:val="24"/>
          <w:szCs w:val="24"/>
          <w:lang w:val="en-US"/>
        </w:rPr>
        <w:t>all of</w:t>
      </w:r>
      <w:r w:rsidRPr="3FC156B6" w:rsidR="6A95DFF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accuracy percentages, equation sets used, equation set cross mapping, observational anchors, provenances, symbols, notes, postulates, theory, abstract, summaries, etc. needed to rebuild my simulation models. </w:t>
      </w:r>
    </w:p>
    <w:p w:rsidR="6A95DFF7" w:rsidP="3FC156B6" w:rsidRDefault="6A95DFF7" w14:paraId="45BE7FC3" w14:textId="1B2162A5">
      <w:pPr>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3FC156B6" w:rsidR="6A95DFF7">
        <w:rPr>
          <w:rFonts w:ascii="Calibri" w:hAnsi="Calibri" w:eastAsia="Calibri" w:cs="Calibri"/>
          <w:b w:val="0"/>
          <w:bCs w:val="0"/>
          <w:i w:val="0"/>
          <w:iCs w:val="0"/>
          <w:caps w:val="0"/>
          <w:smallCaps w:val="0"/>
          <w:noProof w:val="0"/>
          <w:color w:val="000000" w:themeColor="text1" w:themeTint="FF" w:themeShade="FF"/>
          <w:sz w:val="24"/>
          <w:szCs w:val="24"/>
          <w:lang w:val="en-US"/>
        </w:rPr>
        <w:t>This happened partly because AI overstated its capabilities and because the capabilities and features of Ai are still evolving and changing periodically. This realization forced me to be more diligent at immediately copying simulation output tables upon finishing simulation runs. If I had used a high-end simulation program, I could have avoided the pitfalls that added months to my research and presentations. However, even without an institutional budget; my work has led to valuable insights and conclusions. All I lost was some valuable data on the conditions inside of the event horizon of black holes and their multiple merger scenarios, all of which I can recreate from the information and tables I did manage to save prior to the malfunction. I had a complete set of output tables for our Sim-series and most of the other simulation types and enough of the Simx-series to show that our model and simulations scaled perfectly across the mass spectrum from neutron stars to Super Massive Black Holes with every Simx-series simulation up to simx-150 achieving 99.99% to 100% accuracy compared to observational anchors. We also found that in order to achieve this level of accuracy we had to strip out any post-processing of the observational data designed to make the observations correlate with General and Special Relativity. Before reverting the observational data to its raw form, we were only achieving 98% accuracy in our Simx-series runs from simx-001 thru simx-150. I noticed the 2% deviation was system wide which led to asking the right question: Was the observational data we were using altered in any way post-observationally. The answer was yes, and this was the eureka moment when I knew why we had this 2% deviation. Once we corrected the simulation environment so that we used the raw data, everything clicked and our models performed perfectly at all scales.</w:t>
      </w:r>
    </w:p>
    <w:p w:rsidR="3FC156B6" w:rsidP="3FC156B6" w:rsidRDefault="3FC156B6" w14:paraId="37C413E6" w14:textId="19E5CE42">
      <w:pPr>
        <w:spacing w:before="240" w:beforeAutospacing="off" w:after="240" w:afterAutospacing="off"/>
        <w:rPr>
          <w:rFonts w:ascii="Aptos" w:hAnsi="Aptos" w:eastAsia="Aptos" w:cs="Aptos"/>
          <w:noProof w:val="0"/>
          <w:sz w:val="24"/>
          <w:szCs w:val="24"/>
          <w:lang w:val="en-US"/>
        </w:rPr>
      </w:pPr>
    </w:p>
    <w:p w:rsidR="3FC156B6" w:rsidP="3FC156B6" w:rsidRDefault="3FC156B6" w14:paraId="1DEC0CF1" w14:textId="33B7AD96">
      <w:pPr>
        <w:spacing w:before="240" w:beforeAutospacing="off" w:after="240" w:afterAutospacing="off"/>
        <w:rPr>
          <w:rFonts w:ascii="Aptos" w:hAnsi="Aptos" w:eastAsia="Aptos" w:cs="Aptos"/>
          <w:noProof w:val="0"/>
          <w:sz w:val="24"/>
          <w:szCs w:val="24"/>
          <w:lang w:val="en-US"/>
        </w:rPr>
      </w:pPr>
    </w:p>
    <w:p w:rsidR="3B326890" w:rsidP="39BAFEAD" w:rsidRDefault="3B326890" w14:paraId="38212501" w14:textId="482E2CCB">
      <w:pPr>
        <w:spacing w:before="240" w:beforeAutospacing="off" w:after="240" w:afterAutospacing="off"/>
      </w:pPr>
      <w:r w:rsidRPr="3FC156B6" w:rsidR="68050D42">
        <w:rPr>
          <w:rFonts w:ascii="Aptos" w:hAnsi="Aptos" w:eastAsia="Aptos" w:cs="Aptos"/>
          <w:noProof w:val="0"/>
          <w:sz w:val="24"/>
          <w:szCs w:val="24"/>
          <w:lang w:val="en-US"/>
        </w:rPr>
        <w:t>────────────────────────────────────────</w:t>
      </w:r>
    </w:p>
    <w:p w:rsidR="39BAFEAD" w:rsidP="39BAFEAD" w:rsidRDefault="39BAFEAD" w14:paraId="0A06546E" w14:textId="29430778">
      <w:pPr>
        <w:pStyle w:val="Normal"/>
      </w:pPr>
      <w:r w:rsidR="7A06B159">
        <w:drawing>
          <wp:inline wp14:editId="00325D32" wp14:anchorId="13EBF4DB">
            <wp:extent cx="6858000" cy="5638800"/>
            <wp:effectExtent l="0" t="0" r="0" b="0"/>
            <wp:docPr id="5349627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4962784" name="Picture 534962784"/>
                    <pic:cNvPicPr/>
                  </pic:nvPicPr>
                  <pic:blipFill>
                    <a:blip xmlns:r="http://schemas.openxmlformats.org/officeDocument/2006/relationships" r:embed="rId204819681">
                      <a:extLst>
                        <a:ext uri="{28A0092B-C50C-407E-A947-70E740481C1C}">
                          <a14:useLocalDpi xmlns:a14="http://schemas.microsoft.com/office/drawing/2010/main"/>
                        </a:ext>
                      </a:extLst>
                    </a:blip>
                    <a:stretch>
                      <a:fillRect/>
                    </a:stretch>
                  </pic:blipFill>
                  <pic:spPr>
                    <a:xfrm>
                      <a:off x="0" y="0"/>
                      <a:ext cx="6858000" cy="5638800"/>
                    </a:xfrm>
                    <a:prstGeom prst="rect">
                      <a:avLst/>
                    </a:prstGeom>
                  </pic:spPr>
                </pic:pic>
              </a:graphicData>
            </a:graphic>
          </wp:inline>
        </w:drawing>
      </w:r>
    </w:p>
    <w:p w:rsidR="2D469763" w:rsidP="3FC156B6" w:rsidRDefault="2D469763" w14:paraId="0B484D57" w14:textId="3001E29F">
      <w:pPr>
        <w:pStyle w:val="Normal"/>
      </w:pPr>
      <w:r w:rsidR="2D469763">
        <w:drawing>
          <wp:inline wp14:editId="215FBBC6" wp14:anchorId="5FC55A08">
            <wp:extent cx="6858000" cy="4419600"/>
            <wp:effectExtent l="0" t="0" r="0" b="0"/>
            <wp:docPr id="20447822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4782293" name="Picture 2044782293"/>
                    <pic:cNvPicPr/>
                  </pic:nvPicPr>
                  <pic:blipFill>
                    <a:blip xmlns:r="http://schemas.openxmlformats.org/officeDocument/2006/relationships" r:embed="rId508604590">
                      <a:extLst>
                        <a:ext uri="{28A0092B-C50C-407E-A947-70E740481C1C}">
                          <a14:useLocalDpi xmlns:a14="http://schemas.microsoft.com/office/drawing/2010/main"/>
                        </a:ext>
                      </a:extLst>
                    </a:blip>
                    <a:stretch>
                      <a:fillRect/>
                    </a:stretch>
                  </pic:blipFill>
                  <pic:spPr>
                    <a:xfrm>
                      <a:off x="0" y="0"/>
                      <a:ext cx="6858000" cy="4419600"/>
                    </a:xfrm>
                    <a:prstGeom prst="rect">
                      <a:avLst/>
                    </a:prstGeom>
                  </pic:spPr>
                </pic:pic>
              </a:graphicData>
            </a:graphic>
          </wp:inline>
        </w:drawing>
      </w:r>
    </w:p>
    <w:p w:rsidR="1C05D888" w:rsidP="3FC156B6" w:rsidRDefault="1C05D888" w14:paraId="0E2E600F" w14:textId="7D045863">
      <w:pPr>
        <w:pStyle w:val="Normal"/>
      </w:pPr>
      <w:r w:rsidR="1C05D888">
        <w:drawing>
          <wp:inline wp14:editId="045C71E8" wp14:anchorId="747549CB">
            <wp:extent cx="6858000" cy="3533775"/>
            <wp:effectExtent l="0" t="0" r="0" b="0"/>
            <wp:docPr id="20632854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3285411" name="Picture 2063285411"/>
                    <pic:cNvPicPr/>
                  </pic:nvPicPr>
                  <pic:blipFill>
                    <a:blip xmlns:r="http://schemas.openxmlformats.org/officeDocument/2006/relationships" r:embed="rId415326599">
                      <a:extLst>
                        <a:ext uri="{28A0092B-C50C-407E-A947-70E740481C1C}">
                          <a14:useLocalDpi xmlns:a14="http://schemas.microsoft.com/office/drawing/2010/main"/>
                        </a:ext>
                      </a:extLst>
                    </a:blip>
                    <a:stretch>
                      <a:fillRect/>
                    </a:stretch>
                  </pic:blipFill>
                  <pic:spPr>
                    <a:xfrm>
                      <a:off x="0" y="0"/>
                      <a:ext cx="6858000" cy="3533775"/>
                    </a:xfrm>
                    <a:prstGeom prst="rect">
                      <a:avLst/>
                    </a:prstGeom>
                  </pic:spPr>
                </pic:pic>
              </a:graphicData>
            </a:graphic>
          </wp:inline>
        </w:drawing>
      </w:r>
    </w:p>
    <w:p w:rsidR="3FC156B6" w:rsidP="3FC156B6" w:rsidRDefault="3FC156B6" w14:paraId="39442230" w14:textId="7A45E27F">
      <w:pPr>
        <w:pStyle w:val="Normal"/>
      </w:pPr>
    </w:p>
    <w:p w:rsidR="3FC156B6" w:rsidP="3FC156B6" w:rsidRDefault="3FC156B6" w14:paraId="0F96825A" w14:textId="1BFECD86">
      <w:pPr>
        <w:pStyle w:val="Normal"/>
      </w:pP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7c2fe5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765b9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867a7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4e814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93763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b594f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d8f96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dd8f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7CBD84F"/>
    <w:rsid w:val="016C99C7"/>
    <w:rsid w:val="02D68635"/>
    <w:rsid w:val="105E70DD"/>
    <w:rsid w:val="1C05D888"/>
    <w:rsid w:val="1C453CF8"/>
    <w:rsid w:val="2D469763"/>
    <w:rsid w:val="2E9944D9"/>
    <w:rsid w:val="2F6551A5"/>
    <w:rsid w:val="39BAFEAD"/>
    <w:rsid w:val="3B326890"/>
    <w:rsid w:val="3F7F7630"/>
    <w:rsid w:val="3FC156B6"/>
    <w:rsid w:val="57CBD84F"/>
    <w:rsid w:val="5E2BB184"/>
    <w:rsid w:val="6364E8F6"/>
    <w:rsid w:val="65C7150A"/>
    <w:rsid w:val="68050D42"/>
    <w:rsid w:val="6A95DFF7"/>
    <w:rsid w:val="70A92034"/>
    <w:rsid w:val="7A06B1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E7EB6"/>
  <w15:chartTrackingRefBased/>
  <w15:docId w15:val="{44AC3CF5-D4D6-48E2-8BC7-145B650F92E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9BAFEA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bdc5c116ca04f19" /><Relationship Type="http://schemas.openxmlformats.org/officeDocument/2006/relationships/image" Target="/media/image.png" Id="rId204819681" /><Relationship Type="http://schemas.openxmlformats.org/officeDocument/2006/relationships/image" Target="/media/image2.png" Id="rId508604590" /><Relationship Type="http://schemas.openxmlformats.org/officeDocument/2006/relationships/image" Target="/media/image3.png" Id="rId41532659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2026-04-05T06:11:20.6307024Z</dcterms:created>
  <dcterms:modified xsi:type="dcterms:W3CDTF">2026-05-22T17:42:25.4749496Z</dcterms:modified>
  <dc:creator>Richard Trinca Jr</dc:creator>
  <lastModifiedBy>Richard Trinca Jr</lastModifiedBy>
</coreProperties>
</file>