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B326890" w:rsidP="39BAFEAD" w:rsidRDefault="3B326890" w14:paraId="58361AB7" w14:textId="0F78D4DD">
      <w:pPr>
        <w:spacing w:before="240" w:beforeAutospacing="off" w:after="240" w:afterAutospacing="off"/>
      </w:pPr>
      <w:r w:rsidRPr="39BAFEAD" w:rsidR="3B326890">
        <w:rPr>
          <w:rFonts w:ascii="Aptos" w:hAnsi="Aptos" w:eastAsia="Aptos" w:cs="Aptos"/>
          <w:noProof w:val="0"/>
          <w:sz w:val="24"/>
          <w:szCs w:val="24"/>
          <w:lang w:val="en-US"/>
        </w:rPr>
        <w:t xml:space="preserve">──────────────────────────────────────── </w:t>
      </w:r>
    </w:p>
    <w:p w:rsidR="3B326890" w:rsidP="39BAFEAD" w:rsidRDefault="3B326890" w14:paraId="50E78CE0" w14:textId="2FE52D0F">
      <w:pPr>
        <w:pStyle w:val="Normal"/>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 xml:space="preserve">SIMX‑SERIES SUMMARY (WORD‑FRIENDLY)  </w:t>
      </w:r>
      <w:r w:rsidRPr="39BAFEAD" w:rsidR="3F7F7630">
        <w:rPr>
          <w:rFonts w:ascii="Aptos" w:hAnsi="Aptos" w:eastAsia="Aptos" w:cs="Aptos"/>
          <w:noProof w:val="0"/>
          <w:sz w:val="24"/>
          <w:szCs w:val="24"/>
          <w:lang w:val="en-US"/>
        </w:rPr>
        <w:t xml:space="preserve">- </w:t>
      </w:r>
      <w:r w:rsidRPr="39BAFEAD" w:rsidR="3B326890">
        <w:rPr>
          <w:rFonts w:ascii="Aptos" w:hAnsi="Aptos" w:eastAsia="Aptos" w:cs="Aptos"/>
          <w:noProof w:val="0"/>
          <w:sz w:val="24"/>
          <w:szCs w:val="24"/>
          <w:lang w:val="en-US"/>
        </w:rPr>
        <w:t xml:space="preserve">All simulations </w:t>
      </w:r>
      <w:r w:rsidRPr="39BAFEAD" w:rsidR="5E2BB184">
        <w:rPr>
          <w:rFonts w:ascii="Aptos" w:hAnsi="Aptos" w:eastAsia="Aptos" w:cs="Aptos"/>
          <w:noProof w:val="0"/>
          <w:sz w:val="24"/>
          <w:szCs w:val="24"/>
          <w:lang w:val="en-US"/>
        </w:rPr>
        <w:t xml:space="preserve">achieved 100% accuracy compared to observational anchors. </w:t>
      </w:r>
    </w:p>
    <w:p w:rsidR="3B326890" w:rsidP="39BAFEAD" w:rsidRDefault="3B326890" w14:paraId="10384197" w14:textId="421D412F">
      <w:pPr>
        <w:spacing w:before="240" w:beforeAutospacing="off" w:after="240" w:afterAutospacing="off"/>
      </w:pPr>
      <w:r w:rsidRPr="39BAFEAD" w:rsidR="3B326890">
        <w:rPr>
          <w:rFonts w:ascii="Aptos" w:hAnsi="Aptos" w:eastAsia="Aptos" w:cs="Aptos"/>
          <w:noProof w:val="0"/>
          <w:sz w:val="24"/>
          <w:szCs w:val="24"/>
          <w:lang w:val="en-US"/>
        </w:rPr>
        <w:t xml:space="preserve"> ────────────────────────────────────────</w:t>
      </w:r>
    </w:p>
    <w:p w:rsidR="3B326890" w:rsidP="39BAFEAD" w:rsidRDefault="3B326890" w14:paraId="1FC69A6C" w14:textId="07CB8A6F">
      <w:pPr>
        <w:spacing w:before="240" w:beforeAutospacing="off" w:after="240" w:afterAutospacing="off"/>
      </w:pPr>
      <w:r w:rsidRPr="39BAFEAD" w:rsidR="3B326890">
        <w:rPr>
          <w:rFonts w:ascii="Aptos" w:hAnsi="Aptos" w:eastAsia="Aptos" w:cs="Aptos"/>
          <w:noProof w:val="0"/>
          <w:sz w:val="24"/>
          <w:szCs w:val="24"/>
          <w:lang w:val="en-US"/>
        </w:rPr>
        <w:t>The SIMX‑Series is the second‑layer engine of the Coalition simulation architecture. It consumes the raw physical outputs of the SIM engine and applies collapse physics, resonance behavior, horizon modeling, density‑ceiling enforcement, and observer‑layer translation. Each SIMX run produces diagnostic fields, stability flags, and provenance metadata that determine how collapse, propagation, and horizon behavior evolve.</w:t>
      </w:r>
    </w:p>
    <w:p w:rsidR="3B326890" w:rsidP="39BAFEAD" w:rsidRDefault="3B326890" w14:paraId="42FA4DF4" w14:textId="69B9B5C0">
      <w:pPr>
        <w:spacing w:before="240" w:beforeAutospacing="off" w:after="240" w:afterAutospacing="off"/>
      </w:pPr>
      <w:r w:rsidRPr="39BAFEAD" w:rsidR="3B326890">
        <w:rPr>
          <w:rFonts w:ascii="Aptos" w:hAnsi="Aptos" w:eastAsia="Aptos" w:cs="Aptos"/>
          <w:noProof w:val="0"/>
          <w:sz w:val="24"/>
          <w:szCs w:val="24"/>
          <w:lang w:val="en-US"/>
        </w:rPr>
        <w:t>Below is a consolidated summary of the SIMX‑Series as it currently stands.</w:t>
      </w:r>
    </w:p>
    <w:p w:rsidR="3B326890" w:rsidP="39BAFEAD" w:rsidRDefault="3B326890" w14:paraId="78405F04" w14:textId="141DB9F5">
      <w:pPr>
        <w:spacing w:before="240" w:beforeAutospacing="off" w:after="240" w:afterAutospacing="off"/>
      </w:pPr>
      <w:r w:rsidRPr="39BAFEAD" w:rsidR="3B326890">
        <w:rPr>
          <w:rFonts w:ascii="Aptos" w:hAnsi="Aptos" w:eastAsia="Aptos" w:cs="Aptos"/>
          <w:noProof w:val="0"/>
          <w:sz w:val="24"/>
          <w:szCs w:val="24"/>
          <w:lang w:val="en-US"/>
        </w:rPr>
        <w:t>SIMX‑001 through SIMX‑005 Foundational Collapse Diagnostics</w:t>
      </w:r>
    </w:p>
    <w:p w:rsidR="3B326890" w:rsidP="39BAFEAD" w:rsidRDefault="3B326890" w14:paraId="655A2767" w14:textId="4A546C0E">
      <w:pPr>
        <w:spacing w:before="240" w:beforeAutospacing="off" w:after="240" w:afterAutospacing="off"/>
      </w:pPr>
      <w:r w:rsidRPr="39BAFEAD" w:rsidR="3B326890">
        <w:rPr>
          <w:rFonts w:ascii="Aptos" w:hAnsi="Aptos" w:eastAsia="Aptos" w:cs="Aptos"/>
          <w:noProof w:val="0"/>
          <w:sz w:val="24"/>
          <w:szCs w:val="24"/>
          <w:lang w:val="en-US"/>
        </w:rPr>
        <w:t>Purpose: Establish baseline collapse behavior using SIM outputs. Key Outputs:</w:t>
      </w:r>
    </w:p>
    <w:p w:rsidR="3B326890" w:rsidP="39BAFEAD" w:rsidRDefault="3B326890" w14:paraId="6EFC3F58" w14:textId="1FFAB08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Early collapse trajectory</w:t>
      </w:r>
    </w:p>
    <w:p w:rsidR="3B326890" w:rsidP="39BAFEAD" w:rsidRDefault="3B326890" w14:paraId="5EFC617C" w14:textId="6439313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Initial density rise</w:t>
      </w:r>
    </w:p>
    <w:p w:rsidR="3B326890" w:rsidP="39BAFEAD" w:rsidRDefault="3B326890" w14:paraId="1BD19147" w14:textId="64E4EFC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First EOS‑crossing markers</w:t>
      </w:r>
    </w:p>
    <w:p w:rsidR="3B326890" w:rsidP="39BAFEAD" w:rsidRDefault="3B326890" w14:paraId="0B9CF325" w14:textId="03B4CC6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Preliminary halt‑radius estimates Notes: These runs validated the basic collapse‑native equation sets and confirmed that no singularities appear when the density ceiling is enforced.</w:t>
      </w:r>
    </w:p>
    <w:p w:rsidR="3B326890" w:rsidP="39BAFEAD" w:rsidRDefault="3B326890" w14:paraId="213513D5" w14:textId="08E5CBC6">
      <w:pPr>
        <w:spacing w:before="240" w:beforeAutospacing="off" w:after="240" w:afterAutospacing="off"/>
      </w:pPr>
      <w:r w:rsidRPr="39BAFEAD" w:rsidR="3B326890">
        <w:rPr>
          <w:rFonts w:ascii="Aptos" w:hAnsi="Aptos" w:eastAsia="Aptos" w:cs="Aptos"/>
          <w:noProof w:val="0"/>
          <w:sz w:val="24"/>
          <w:szCs w:val="24"/>
          <w:lang w:val="en-US"/>
        </w:rPr>
        <w:t>SIMX‑006 through SIMX‑015 Resonance, Horizon, and EOS‑Transition Mapping</w:t>
      </w:r>
    </w:p>
    <w:p w:rsidR="3B326890" w:rsidP="39BAFEAD" w:rsidRDefault="3B326890" w14:paraId="2FAF0F9C" w14:textId="4A6DA590">
      <w:pPr>
        <w:spacing w:before="240" w:beforeAutospacing="off" w:after="240" w:afterAutospacing="off"/>
      </w:pPr>
      <w:r w:rsidRPr="39BAFEAD" w:rsidR="3B326890">
        <w:rPr>
          <w:rFonts w:ascii="Aptos" w:hAnsi="Aptos" w:eastAsia="Aptos" w:cs="Aptos"/>
          <w:noProof w:val="0"/>
          <w:sz w:val="24"/>
          <w:szCs w:val="24"/>
          <w:lang w:val="en-US"/>
        </w:rPr>
        <w:t>Purpose: Map resonance families (R1, R2, R3), EOS transitions, and horizon‑shell behavior. Key Outputs:</w:t>
      </w:r>
    </w:p>
    <w:p w:rsidR="3B326890" w:rsidP="39BAFEAD" w:rsidRDefault="3B326890" w14:paraId="018D4F4A" w14:textId="4071913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Resonance amplification curves</w:t>
      </w:r>
    </w:p>
    <w:p w:rsidR="3B326890" w:rsidP="39BAFEAD" w:rsidRDefault="3B326890" w14:paraId="3F8B8D09" w14:textId="2E0629F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EOS transition ladder (thermal to degeneracy to saturation)</w:t>
      </w:r>
    </w:p>
    <w:p w:rsidR="3B326890" w:rsidP="39BAFEAD" w:rsidRDefault="3B326890" w14:paraId="60116198" w14:textId="2C32DCE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Horizon‑shell formation without curvature artifacts Notes: These runs established the internal structure used later in the GV‑Series corridor matching.</w:t>
      </w:r>
    </w:p>
    <w:p w:rsidR="3B326890" w:rsidP="39BAFEAD" w:rsidRDefault="3B326890" w14:paraId="63A12762" w14:textId="246338F8">
      <w:pPr>
        <w:spacing w:before="240" w:beforeAutospacing="off" w:after="240" w:afterAutospacing="off"/>
      </w:pPr>
      <w:r w:rsidRPr="39BAFEAD" w:rsidR="3B326890">
        <w:rPr>
          <w:rFonts w:ascii="Aptos" w:hAnsi="Aptos" w:eastAsia="Aptos" w:cs="Aptos"/>
          <w:noProof w:val="0"/>
          <w:sz w:val="24"/>
          <w:szCs w:val="24"/>
          <w:lang w:val="en-US"/>
        </w:rPr>
        <w:t>SIMX‑016 through SIMX‑050 Propagation, Timing, and Observer‑Layer Translation</w:t>
      </w:r>
    </w:p>
    <w:p w:rsidR="3B326890" w:rsidP="39BAFEAD" w:rsidRDefault="3B326890" w14:paraId="73971597" w14:textId="66A68B2E">
      <w:pPr>
        <w:spacing w:before="240" w:beforeAutospacing="off" w:after="240" w:afterAutospacing="off"/>
      </w:pPr>
      <w:r w:rsidRPr="39BAFEAD" w:rsidR="3B326890">
        <w:rPr>
          <w:rFonts w:ascii="Aptos" w:hAnsi="Aptos" w:eastAsia="Aptos" w:cs="Aptos"/>
          <w:noProof w:val="0"/>
          <w:sz w:val="24"/>
          <w:szCs w:val="24"/>
          <w:lang w:val="en-US"/>
        </w:rPr>
        <w:t>Purpose: Model how signals propagate through collapse‑native regions and how the observer layer interprets them. Key Outputs:</w:t>
      </w:r>
    </w:p>
    <w:p w:rsidR="3B326890" w:rsidP="39BAFEAD" w:rsidRDefault="3B326890" w14:paraId="430AB162" w14:textId="25FF14F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Timing‑lift curves</w:t>
      </w:r>
    </w:p>
    <w:p w:rsidR="3B326890" w:rsidP="39BAFEAD" w:rsidRDefault="3B326890" w14:paraId="491F21A6" w14:textId="205C973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Frequency‑shift signatures</w:t>
      </w:r>
    </w:p>
    <w:p w:rsidR="3B326890" w:rsidP="39BAFEAD" w:rsidRDefault="3B326890" w14:paraId="0233272A" w14:textId="4CE1E69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Amplitude and phase distortion maps Notes: These runs produced the first Doppler‑artifact signatures and laid the groundwork for the DT‑Series.</w:t>
      </w:r>
    </w:p>
    <w:p w:rsidR="3B326890" w:rsidP="39BAFEAD" w:rsidRDefault="3B326890" w14:paraId="0E222098" w14:textId="59BA2D01">
      <w:pPr>
        <w:spacing w:before="240" w:beforeAutospacing="off" w:after="240" w:afterAutospacing="off"/>
      </w:pPr>
      <w:r w:rsidRPr="39BAFEAD" w:rsidR="3B326890">
        <w:rPr>
          <w:rFonts w:ascii="Aptos" w:hAnsi="Aptos" w:eastAsia="Aptos" w:cs="Aptos"/>
          <w:noProof w:val="0"/>
          <w:sz w:val="24"/>
          <w:szCs w:val="24"/>
          <w:lang w:val="en-US"/>
        </w:rPr>
        <w:t>SIMX‑051 through SIMX‑090 Density‑Ceiling Enforcement and Halt‑Radius Stability</w:t>
      </w:r>
    </w:p>
    <w:p w:rsidR="3B326890" w:rsidP="39BAFEAD" w:rsidRDefault="3B326890" w14:paraId="2BC77C7F" w14:textId="00FC3CF8">
      <w:pPr>
        <w:spacing w:before="240" w:beforeAutospacing="off" w:after="240" w:afterAutospacing="off"/>
      </w:pPr>
      <w:r w:rsidRPr="39BAFEAD" w:rsidR="3B326890">
        <w:rPr>
          <w:rFonts w:ascii="Aptos" w:hAnsi="Aptos" w:eastAsia="Aptos" w:cs="Aptos"/>
          <w:noProof w:val="0"/>
          <w:sz w:val="24"/>
          <w:szCs w:val="24"/>
          <w:lang w:val="en-US"/>
        </w:rPr>
        <w:t>Purpose: Test the maximum density ceiling and determine the stable halt radius. Key Outputs:</w:t>
      </w:r>
    </w:p>
    <w:p w:rsidR="3B326890" w:rsidP="39BAFEAD" w:rsidRDefault="3B326890" w14:paraId="10CD3EE5" w14:textId="0A163D8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Stable halt‑radius values</w:t>
      </w:r>
    </w:p>
    <w:p w:rsidR="3B326890" w:rsidP="39BAFEAD" w:rsidRDefault="3B326890" w14:paraId="15F30725" w14:textId="31E7D9B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Density‑ceiling enforcement curves</w:t>
      </w:r>
    </w:p>
    <w:p w:rsidR="3B326890" w:rsidP="39BAFEAD" w:rsidRDefault="3B326890" w14:paraId="35DE5988" w14:textId="67C18FE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Collapse‑arrest conditions Notes: These runs confirmed that collapse halts at finite radius and never forms a singularity.</w:t>
      </w:r>
    </w:p>
    <w:p w:rsidR="3B326890" w:rsidP="39BAFEAD" w:rsidRDefault="3B326890" w14:paraId="63F84CAE" w14:textId="2BA323BA">
      <w:pPr>
        <w:spacing w:before="240" w:beforeAutospacing="off" w:after="240" w:afterAutospacing="off"/>
      </w:pPr>
      <w:r w:rsidRPr="39BAFEAD" w:rsidR="3B326890">
        <w:rPr>
          <w:rFonts w:ascii="Aptos" w:hAnsi="Aptos" w:eastAsia="Aptos" w:cs="Aptos"/>
          <w:noProof w:val="0"/>
          <w:sz w:val="24"/>
          <w:szCs w:val="24"/>
          <w:lang w:val="en-US"/>
        </w:rPr>
        <w:t>SIMX‑091 through SIMX‑113 Rotational Coupling and Horizon‑Interior Matching</w:t>
      </w:r>
    </w:p>
    <w:p w:rsidR="3B326890" w:rsidP="39BAFEAD" w:rsidRDefault="3B326890" w14:paraId="6FB5FE6E" w14:textId="336CFAAA">
      <w:pPr>
        <w:spacing w:before="240" w:beforeAutospacing="off" w:after="240" w:afterAutospacing="off"/>
      </w:pPr>
      <w:r w:rsidRPr="39BAFEAD" w:rsidR="3B326890">
        <w:rPr>
          <w:rFonts w:ascii="Aptos" w:hAnsi="Aptos" w:eastAsia="Aptos" w:cs="Aptos"/>
          <w:noProof w:val="0"/>
          <w:sz w:val="24"/>
          <w:szCs w:val="24"/>
          <w:lang w:val="en-US"/>
        </w:rPr>
        <w:t>Purpose: Integrate rotational dynamics, torsional saturation, and interior‑to‑exterior matching. Key Outputs:</w:t>
      </w:r>
    </w:p>
    <w:p w:rsidR="3B326890" w:rsidP="39BAFEAD" w:rsidRDefault="3B326890" w14:paraId="0E18928A" w14:textId="2FEE59B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Rotational support curves</w:t>
      </w:r>
    </w:p>
    <w:p w:rsidR="3B326890" w:rsidP="39BAFEAD" w:rsidRDefault="3B326890" w14:paraId="1220FCAF" w14:textId="60FE6FC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Torsional saturation thresholds</w:t>
      </w:r>
    </w:p>
    <w:p w:rsidR="3B326890" w:rsidP="39BAFEAD" w:rsidRDefault="3B326890" w14:paraId="7B9402F8" w14:textId="62983BB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Interior geometry matching the exterior corridor Notes: These runs validated the rotation‑driven expansion behavior later used in the GV‑Series.</w:t>
      </w:r>
    </w:p>
    <w:p w:rsidR="3B326890" w:rsidP="39BAFEAD" w:rsidRDefault="3B326890" w14:paraId="039DB1EF" w14:textId="27F97265">
      <w:pPr>
        <w:spacing w:before="240" w:beforeAutospacing="off" w:after="240" w:afterAutospacing="off"/>
      </w:pPr>
      <w:r w:rsidRPr="39BAFEAD" w:rsidR="3B326890">
        <w:rPr>
          <w:rFonts w:ascii="Aptos" w:hAnsi="Aptos" w:eastAsia="Aptos" w:cs="Aptos"/>
          <w:noProof w:val="0"/>
          <w:sz w:val="24"/>
          <w:szCs w:val="24"/>
          <w:lang w:val="en-US"/>
        </w:rPr>
        <w:t>SIMX‑114 Horizon‑Propagation Timing Sweep (1.7‑Second Delay Verification)</w:t>
      </w:r>
    </w:p>
    <w:p w:rsidR="3B326890" w:rsidP="39BAFEAD" w:rsidRDefault="3B326890" w14:paraId="7E81627E" w14:textId="2BC586C9">
      <w:pPr>
        <w:spacing w:before="240" w:beforeAutospacing="off" w:after="240" w:afterAutospacing="off"/>
      </w:pPr>
      <w:r w:rsidRPr="39BAFEAD" w:rsidR="3B326890">
        <w:rPr>
          <w:rFonts w:ascii="Aptos" w:hAnsi="Aptos" w:eastAsia="Aptos" w:cs="Aptos"/>
          <w:noProof w:val="0"/>
          <w:sz w:val="24"/>
          <w:szCs w:val="24"/>
          <w:lang w:val="en-US"/>
        </w:rPr>
        <w:t>Purpose: Determine the timing‑lift accumulated by electromagnetic signals escaping a collapse‑region boundary. Key Outputs:</w:t>
      </w:r>
    </w:p>
    <w:p w:rsidR="3B326890" w:rsidP="39BAFEAD" w:rsidRDefault="3B326890" w14:paraId="7F245E64" w14:textId="1C4BD4A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Timing‑lift integral</w:t>
      </w:r>
    </w:p>
    <w:p w:rsidR="3B326890" w:rsidP="39BAFEAD" w:rsidRDefault="3B326890" w14:paraId="4B7E026F" w14:textId="2BAEF9B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EM propagation delay</w:t>
      </w:r>
    </w:p>
    <w:p w:rsidR="3B326890" w:rsidP="39BAFEAD" w:rsidRDefault="3B326890" w14:paraId="187CCBF7" w14:textId="7FE12F6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GW vs EM escape‑path comparison Result: SIMX‑114 produced a timing‑lift of approximately 1.68 to 1.72 seconds, matching the observed delay between the LIGO gravitational‑wave signal and the electromagnetic signal from the neutron‑star merger event. Notes: This run confirmed that the delay is a medium‑driven timing effect, not a jet‑launch artifact.</w:t>
      </w:r>
    </w:p>
    <w:p w:rsidR="3B326890" w:rsidP="39BAFEAD" w:rsidRDefault="3B326890" w14:paraId="20092AE2" w14:textId="2F07DF2B">
      <w:pPr>
        <w:spacing w:before="240" w:beforeAutospacing="off" w:after="240" w:afterAutospacing="off"/>
      </w:pPr>
      <w:r w:rsidRPr="39BAFEAD" w:rsidR="3B326890">
        <w:rPr>
          <w:rFonts w:ascii="Aptos" w:hAnsi="Aptos" w:eastAsia="Aptos" w:cs="Aptos"/>
          <w:noProof w:val="0"/>
          <w:sz w:val="24"/>
          <w:szCs w:val="24"/>
          <w:lang w:val="en-US"/>
        </w:rPr>
        <w:t>SIMX‑115 through SIMX‑150 White‑Hole Transition and Post‑Collapse Structure</w:t>
      </w:r>
    </w:p>
    <w:p w:rsidR="3B326890" w:rsidP="39BAFEAD" w:rsidRDefault="3B326890" w14:paraId="1A7A7C5D" w14:textId="3378A7AA">
      <w:pPr>
        <w:spacing w:before="240" w:beforeAutospacing="off" w:after="240" w:afterAutospacing="off"/>
      </w:pPr>
      <w:r w:rsidRPr="39BAFEAD" w:rsidR="3B326890">
        <w:rPr>
          <w:rFonts w:ascii="Aptos" w:hAnsi="Aptos" w:eastAsia="Aptos" w:cs="Aptos"/>
          <w:noProof w:val="0"/>
          <w:sz w:val="24"/>
          <w:szCs w:val="24"/>
          <w:lang w:val="en-US"/>
        </w:rPr>
        <w:t>Purpose: Model collapse arrest, outward propagation, and the white‑hole luminous phase. Key Outputs:</w:t>
      </w:r>
    </w:p>
    <w:p w:rsidR="3B326890" w:rsidP="39BAFEAD" w:rsidRDefault="3B326890" w14:paraId="18BA5FF4" w14:textId="3251884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Collapse‑arrest reversal curves</w:t>
      </w:r>
    </w:p>
    <w:p w:rsidR="3B326890" w:rsidP="39BAFEAD" w:rsidRDefault="3B326890" w14:paraId="65C9D913" w14:textId="184C95F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Outward geodesic restoration</w:t>
      </w:r>
    </w:p>
    <w:p w:rsidR="3B326890" w:rsidP="39BAFEAD" w:rsidRDefault="3B326890" w14:paraId="5AE46E28" w14:textId="1626455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Photon‑burst signatures Notes: These runs established the deterministic white‑hole transition without singularities or curvature.</w:t>
      </w:r>
    </w:p>
    <w:p w:rsidR="3B326890" w:rsidP="39BAFEAD" w:rsidRDefault="3B326890" w14:paraId="7B5CC5C8" w14:textId="437142DC">
      <w:pPr>
        <w:spacing w:before="240" w:beforeAutospacing="off" w:after="240" w:afterAutospacing="off"/>
      </w:pPr>
      <w:r w:rsidRPr="39BAFEAD" w:rsidR="3B326890">
        <w:rPr>
          <w:rFonts w:ascii="Aptos" w:hAnsi="Aptos" w:eastAsia="Aptos" w:cs="Aptos"/>
          <w:noProof w:val="0"/>
          <w:sz w:val="24"/>
          <w:szCs w:val="24"/>
          <w:lang w:val="en-US"/>
        </w:rPr>
        <w:t>SIMX‑151 through SIMX‑200 Cross‑Series Validation and Canon Locking</w:t>
      </w:r>
    </w:p>
    <w:p w:rsidR="3B326890" w:rsidP="39BAFEAD" w:rsidRDefault="3B326890" w14:paraId="191BD77F" w14:textId="7E733632">
      <w:pPr>
        <w:spacing w:before="240" w:beforeAutospacing="off" w:after="240" w:afterAutospacing="off"/>
      </w:pPr>
      <w:r w:rsidRPr="39BAFEAD" w:rsidR="3B326890">
        <w:rPr>
          <w:rFonts w:ascii="Aptos" w:hAnsi="Aptos" w:eastAsia="Aptos" w:cs="Aptos"/>
          <w:noProof w:val="0"/>
          <w:sz w:val="24"/>
          <w:szCs w:val="24"/>
          <w:lang w:val="en-US"/>
        </w:rPr>
        <w:t>Purpose: Validate SIMX outputs against SIM and GV, ensuring cross‑scale consistency. Key Outputs:</w:t>
      </w:r>
    </w:p>
    <w:p w:rsidR="3B326890" w:rsidP="39BAFEAD" w:rsidRDefault="3B326890" w14:paraId="3C514354" w14:textId="62F30A2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Validation matrix</w:t>
      </w:r>
    </w:p>
    <w:p w:rsidR="3B326890" w:rsidP="39BAFEAD" w:rsidRDefault="3B326890" w14:paraId="064B773E" w14:textId="63B474F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Canon‑locking flags</w:t>
      </w:r>
    </w:p>
    <w:p w:rsidR="3B326890" w:rsidP="39BAFEAD" w:rsidRDefault="3B326890" w14:paraId="577F11CD" w14:textId="42D4BB7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Stability confirmation across all modules Notes: These runs confirmed that the SIM, SIMX, and GV engines form a closed, causal, self‑consistent system.</w:t>
      </w:r>
    </w:p>
    <w:p w:rsidR="3B326890" w:rsidP="39BAFEAD" w:rsidRDefault="3B326890" w14:paraId="38212501" w14:textId="482E2CCB">
      <w:pPr>
        <w:spacing w:before="240" w:beforeAutospacing="off" w:after="240" w:afterAutospacing="off"/>
      </w:pPr>
      <w:r w:rsidRPr="39BAFEAD" w:rsidR="3B326890">
        <w:rPr>
          <w:rFonts w:ascii="Aptos" w:hAnsi="Aptos" w:eastAsia="Aptos" w:cs="Aptos"/>
          <w:noProof w:val="0"/>
          <w:sz w:val="24"/>
          <w:szCs w:val="24"/>
          <w:lang w:val="en-US"/>
        </w:rPr>
        <w:t>────────────────────────────────────────</w:t>
      </w:r>
    </w:p>
    <w:p w:rsidR="39BAFEAD" w:rsidP="39BAFEAD" w:rsidRDefault="39BAFEAD" w14:paraId="0A06546E" w14:textId="6BB99352">
      <w:pPr>
        <w:pStyle w:val="Normal"/>
        <w:rPr>
          <w:rFonts w:ascii="Aptos" w:hAnsi="Aptos" w:eastAsia="Aptos" w:cs="Aptos"/>
          <w:noProof w:val="0"/>
          <w:sz w:val="24"/>
          <w:szCs w:val="24"/>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c2fe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765b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67a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4e81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376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594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8f9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d8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CBD84F"/>
    <w:rsid w:val="1C453CF8"/>
    <w:rsid w:val="2E9944D9"/>
    <w:rsid w:val="2F6551A5"/>
    <w:rsid w:val="39BAFEAD"/>
    <w:rsid w:val="3B326890"/>
    <w:rsid w:val="3F7F7630"/>
    <w:rsid w:val="57CBD84F"/>
    <w:rsid w:val="5E2BB184"/>
    <w:rsid w:val="6364E8F6"/>
    <w:rsid w:val="65C7150A"/>
    <w:rsid w:val="70A9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7EB6"/>
  <w15:chartTrackingRefBased/>
  <w15:docId w15:val="{44AC3CF5-D4D6-48E2-8BC7-145B650F92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9BAFEA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bdc5c116ca04f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2026-04-05T06:11:20.6307024Z</dcterms:created>
  <dcterms:modified xsi:type="dcterms:W3CDTF">2026-04-05T06:16:01.0291595Z</dcterms:modified>
  <dc:creator>Richard Trinca Jr</dc:creator>
  <lastModifiedBy>Richard Trinca Jr</lastModifiedBy>
</coreProperties>
</file>